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6F58" w14:textId="685F927C" w:rsidR="008E6084" w:rsidRPr="008E6084" w:rsidRDefault="008E6084" w:rsidP="008E6084">
      <w:pPr>
        <w:spacing w:line="276" w:lineRule="auto"/>
        <w:rPr>
          <w:rFonts w:ascii="Century Schoolbook" w:hAnsi="Century Schoolbook" w:cstheme="majorBidi"/>
          <w:sz w:val="36"/>
          <w:szCs w:val="36"/>
        </w:rPr>
      </w:pPr>
      <w:r w:rsidRPr="008E6084">
        <w:rPr>
          <w:rFonts w:ascii="Century Schoolbook" w:hAnsi="Century Schoolbook"/>
          <w:b/>
          <w:bCs/>
          <w:i/>
          <w:iCs/>
          <w:color w:val="1C1D1E"/>
          <w:sz w:val="21"/>
          <w:szCs w:val="21"/>
          <w:shd w:val="clear" w:color="auto" w:fill="FFFFFF"/>
        </w:rPr>
        <w:t xml:space="preserve">This is the </w:t>
      </w:r>
      <w:r w:rsidR="00A13750">
        <w:rPr>
          <w:rFonts w:ascii="Century Schoolbook" w:hAnsi="Century Schoolbook"/>
          <w:b/>
          <w:bCs/>
          <w:i/>
          <w:iCs/>
          <w:color w:val="1C1D1E"/>
          <w:sz w:val="21"/>
          <w:szCs w:val="21"/>
          <w:shd w:val="clear" w:color="auto" w:fill="FFFFFF"/>
        </w:rPr>
        <w:t>pre-print</w:t>
      </w:r>
      <w:r w:rsidRPr="008E6084">
        <w:rPr>
          <w:rFonts w:ascii="Century Schoolbook" w:hAnsi="Century Schoolbook"/>
          <w:b/>
          <w:bCs/>
          <w:i/>
          <w:iCs/>
          <w:color w:val="1C1D1E"/>
          <w:sz w:val="21"/>
          <w:szCs w:val="21"/>
          <w:shd w:val="clear" w:color="auto" w:fill="FFFFFF"/>
        </w:rPr>
        <w:t xml:space="preserve"> version of the following article: “</w:t>
      </w:r>
      <w:r w:rsidRPr="008E6084">
        <w:rPr>
          <w:rFonts w:ascii="Century Schoolbook" w:hAnsi="Century Schoolbook"/>
          <w:b/>
          <w:bCs/>
          <w:i/>
          <w:iCs/>
          <w:sz w:val="21"/>
          <w:szCs w:val="21"/>
        </w:rPr>
        <w:t>G. Owen Schaefer, Tai E Shyong and Shirley Sun. 2020. Navigating conflicts of justice in the use of race and ethnicity in precision medicine. Bioethics”</w:t>
      </w:r>
      <w:r w:rsidRPr="008E6084">
        <w:rPr>
          <w:rFonts w:ascii="Century Schoolbook" w:hAnsi="Century Schoolbook"/>
          <w:b/>
          <w:bCs/>
          <w:i/>
          <w:iCs/>
          <w:color w:val="1C1D1E"/>
          <w:sz w:val="21"/>
          <w:szCs w:val="21"/>
          <w:shd w:val="clear" w:color="auto" w:fill="FFFFFF"/>
        </w:rPr>
        <w:t xml:space="preserve">, which has been published in final form at </w:t>
      </w:r>
      <w:hyperlink r:id="rId8" w:history="1">
        <w:r w:rsidRPr="008E6084">
          <w:rPr>
            <w:rStyle w:val="Hyperlink"/>
            <w:i/>
            <w:iCs/>
          </w:rPr>
          <w:t>https://onlinelibrary.wiley.com/doi/abs/10.1111/bioe.12757</w:t>
        </w:r>
      </w:hyperlink>
      <w:r w:rsidRPr="008E6084">
        <w:rPr>
          <w:rFonts w:ascii="Century Schoolbook" w:hAnsi="Century Schoolbook"/>
          <w:b/>
          <w:bCs/>
          <w:i/>
          <w:iCs/>
          <w:color w:val="1C1D1E"/>
          <w:sz w:val="21"/>
          <w:szCs w:val="21"/>
          <w:shd w:val="clear" w:color="auto" w:fill="FFFFFF"/>
        </w:rPr>
        <w:t>. This article may be used for non-commercial purposes in accordance with Wiley Terms and Conditions for Use of Self-Archived Versions</w:t>
      </w:r>
    </w:p>
    <w:p w14:paraId="52197573" w14:textId="77777777" w:rsidR="008E6084" w:rsidRPr="008E6084" w:rsidRDefault="008E6084" w:rsidP="006A3C89">
      <w:pPr>
        <w:spacing w:line="276" w:lineRule="auto"/>
        <w:jc w:val="center"/>
        <w:rPr>
          <w:rFonts w:ascii="Century Schoolbook" w:hAnsi="Century Schoolbook" w:cstheme="majorBidi"/>
          <w:sz w:val="36"/>
          <w:szCs w:val="36"/>
        </w:rPr>
      </w:pPr>
    </w:p>
    <w:p w14:paraId="233CCF34" w14:textId="66DD47D4" w:rsidR="00113943" w:rsidRPr="008E6084" w:rsidRDefault="002D4B8D" w:rsidP="006A3C89">
      <w:pPr>
        <w:spacing w:line="276" w:lineRule="auto"/>
        <w:jc w:val="center"/>
        <w:rPr>
          <w:rFonts w:ascii="Century Schoolbook" w:hAnsi="Century Schoolbook" w:cstheme="majorBidi"/>
          <w:sz w:val="36"/>
          <w:szCs w:val="36"/>
        </w:rPr>
      </w:pPr>
      <w:r w:rsidRPr="008E6084">
        <w:rPr>
          <w:rFonts w:ascii="Century Schoolbook" w:hAnsi="Century Schoolbook" w:cstheme="majorBidi"/>
          <w:sz w:val="36"/>
          <w:szCs w:val="36"/>
        </w:rPr>
        <w:t>Navigating conflicts of justice in the use of race and ethnicity in</w:t>
      </w:r>
      <w:r w:rsidR="00F537D5" w:rsidRPr="008E6084">
        <w:rPr>
          <w:rFonts w:ascii="Century Schoolbook" w:hAnsi="Century Schoolbook" w:cstheme="majorBidi"/>
          <w:sz w:val="36"/>
          <w:szCs w:val="36"/>
        </w:rPr>
        <w:t xml:space="preserve"> precision medicine</w:t>
      </w:r>
    </w:p>
    <w:p w14:paraId="46DB0706" w14:textId="77777777" w:rsidR="00E1494A" w:rsidRPr="008E6084" w:rsidRDefault="00E1494A" w:rsidP="00E1494A">
      <w:pPr>
        <w:jc w:val="center"/>
        <w:rPr>
          <w:rFonts w:ascii="Century Schoolbook" w:hAnsi="Century Schoolbook" w:cs="Arial"/>
        </w:rPr>
      </w:pPr>
    </w:p>
    <w:p w14:paraId="72F0289D" w14:textId="1C9CA0CA" w:rsidR="00E1494A" w:rsidRPr="008E6084" w:rsidRDefault="00E1494A" w:rsidP="00A46615">
      <w:pPr>
        <w:jc w:val="center"/>
        <w:rPr>
          <w:rFonts w:ascii="Century Schoolbook" w:hAnsi="Century Schoolbook" w:cstheme="majorBidi"/>
          <w:sz w:val="36"/>
          <w:szCs w:val="36"/>
        </w:rPr>
      </w:pPr>
      <w:r w:rsidRPr="008E6084">
        <w:rPr>
          <w:rFonts w:ascii="Century Schoolbook" w:hAnsi="Century Schoolbook" w:cs="Arial"/>
        </w:rPr>
        <w:t>By G. Owen Schaefer</w:t>
      </w:r>
      <w:r w:rsidRPr="008E6084">
        <w:rPr>
          <w:rStyle w:val="FootnoteReference"/>
          <w:rFonts w:ascii="Century Schoolbook" w:hAnsi="Century Schoolbook"/>
        </w:rPr>
        <w:t xml:space="preserve"> i</w:t>
      </w:r>
      <w:r w:rsidRPr="008E6084">
        <w:rPr>
          <w:rFonts w:ascii="Century Schoolbook" w:hAnsi="Century Schoolbook" w:cs="Arial"/>
        </w:rPr>
        <w:t>, Tai E Shyong</w:t>
      </w:r>
      <w:r w:rsidRPr="008E6084">
        <w:rPr>
          <w:rStyle w:val="FootnoteReference"/>
          <w:rFonts w:ascii="Century Schoolbook" w:hAnsi="Century Schoolbook"/>
        </w:rPr>
        <w:t xml:space="preserve"> ii</w:t>
      </w:r>
      <w:r w:rsidRPr="008E6084">
        <w:rPr>
          <w:rFonts w:ascii="Century Schoolbook" w:hAnsi="Century Schoolbook" w:cs="Arial"/>
        </w:rPr>
        <w:t xml:space="preserve"> and Shirley Hsiao-Li Sun</w:t>
      </w:r>
      <w:r w:rsidRPr="008E6084">
        <w:rPr>
          <w:rStyle w:val="FootnoteReference"/>
          <w:rFonts w:ascii="Century Schoolbook" w:hAnsi="Century Schoolbook"/>
        </w:rPr>
        <w:t xml:space="preserve"> i</w:t>
      </w:r>
      <w:r w:rsidR="00A46615" w:rsidRPr="008E6084">
        <w:rPr>
          <w:rStyle w:val="FootnoteReference"/>
          <w:rFonts w:ascii="Century Schoolbook" w:hAnsi="Century Schoolbook"/>
        </w:rPr>
        <w:t>i</w:t>
      </w:r>
      <w:r w:rsidRPr="008E6084">
        <w:rPr>
          <w:rStyle w:val="FootnoteReference"/>
          <w:rFonts w:ascii="Century Schoolbook" w:hAnsi="Century Schoolbook"/>
        </w:rPr>
        <w:t>i</w:t>
      </w:r>
    </w:p>
    <w:p w14:paraId="6B82E666" w14:textId="17CDBBB0" w:rsidR="00F537D5" w:rsidRPr="008E6084" w:rsidRDefault="00F537D5" w:rsidP="006A3C89">
      <w:pPr>
        <w:spacing w:line="276" w:lineRule="auto"/>
        <w:jc w:val="both"/>
        <w:rPr>
          <w:rFonts w:ascii="Century Schoolbook" w:hAnsi="Century Schoolbook" w:cstheme="majorBidi"/>
          <w:sz w:val="24"/>
          <w:szCs w:val="24"/>
        </w:rPr>
      </w:pPr>
    </w:p>
    <w:p w14:paraId="4AA60051" w14:textId="4AA0151F" w:rsidR="00F537D5" w:rsidRPr="008E6084" w:rsidRDefault="00F537D5"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Abstract</w:t>
      </w:r>
    </w:p>
    <w:p w14:paraId="7A572A4A" w14:textId="40E2186D" w:rsidR="00F537D5" w:rsidRPr="008E6084" w:rsidRDefault="002D4B8D"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Given the sordid history of injustices linking genetics to race and ethnicity, considerations </w:t>
      </w:r>
      <w:r w:rsidR="00F537D5" w:rsidRPr="008E6084">
        <w:rPr>
          <w:rFonts w:ascii="Century Schoolbook" w:hAnsi="Century Schoolbook" w:cstheme="majorBidi"/>
          <w:sz w:val="24"/>
          <w:szCs w:val="24"/>
        </w:rPr>
        <w:t xml:space="preserve">of justice </w:t>
      </w:r>
      <w:r w:rsidRPr="008E6084">
        <w:rPr>
          <w:rFonts w:ascii="Century Schoolbook" w:hAnsi="Century Schoolbook" w:cstheme="majorBidi"/>
          <w:sz w:val="24"/>
          <w:szCs w:val="24"/>
        </w:rPr>
        <w:t>are</w:t>
      </w:r>
      <w:r w:rsidR="00F537D5" w:rsidRPr="008E6084">
        <w:rPr>
          <w:rFonts w:ascii="Century Schoolbook" w:hAnsi="Century Schoolbook" w:cstheme="majorBidi"/>
          <w:sz w:val="24"/>
          <w:szCs w:val="24"/>
        </w:rPr>
        <w:t xml:space="preserve"> central to ensuring </w:t>
      </w:r>
      <w:r w:rsidR="00CB0133" w:rsidRPr="008E6084">
        <w:rPr>
          <w:rFonts w:ascii="Century Schoolbook" w:hAnsi="Century Schoolbook" w:cstheme="majorBidi"/>
          <w:sz w:val="24"/>
          <w:szCs w:val="24"/>
        </w:rPr>
        <w:t xml:space="preserve">the </w:t>
      </w:r>
      <w:r w:rsidR="00F537D5" w:rsidRPr="008E6084">
        <w:rPr>
          <w:rFonts w:ascii="Century Schoolbook" w:hAnsi="Century Schoolbook" w:cstheme="majorBidi"/>
          <w:sz w:val="24"/>
          <w:szCs w:val="24"/>
        </w:rPr>
        <w:t xml:space="preserve">responsible development of precision medicine programmes around the world. </w:t>
      </w:r>
      <w:r w:rsidRPr="008E6084">
        <w:rPr>
          <w:rFonts w:ascii="Century Schoolbook" w:hAnsi="Century Schoolbook" w:cstheme="majorBidi"/>
          <w:sz w:val="24"/>
          <w:szCs w:val="24"/>
        </w:rPr>
        <w:t>While considerations of justice may be in tension with other areas of concern</w:t>
      </w:r>
      <w:r w:rsidR="00CB0133" w:rsidRPr="008E6084">
        <w:rPr>
          <w:rFonts w:ascii="Century Schoolbook" w:hAnsi="Century Schoolbook" w:cstheme="majorBidi"/>
          <w:sz w:val="24"/>
          <w:szCs w:val="24"/>
        </w:rPr>
        <w:t>,</w:t>
      </w:r>
      <w:r w:rsidRPr="008E6084">
        <w:rPr>
          <w:rFonts w:ascii="Century Schoolbook" w:hAnsi="Century Schoolbook" w:cstheme="majorBidi"/>
          <w:sz w:val="24"/>
          <w:szCs w:val="24"/>
        </w:rPr>
        <w:t xml:space="preserve"> such as scientific value or privacy, there </w:t>
      </w:r>
      <w:r w:rsidR="00CB0133" w:rsidRPr="008E6084">
        <w:rPr>
          <w:rFonts w:ascii="Century Schoolbook" w:hAnsi="Century Schoolbook" w:cstheme="majorBidi"/>
          <w:sz w:val="24"/>
          <w:szCs w:val="24"/>
        </w:rPr>
        <w:t>are</w:t>
      </w:r>
      <w:r w:rsidRPr="008E6084">
        <w:rPr>
          <w:rFonts w:ascii="Century Schoolbook" w:hAnsi="Century Schoolbook" w:cstheme="majorBidi"/>
          <w:sz w:val="24"/>
          <w:szCs w:val="24"/>
        </w:rPr>
        <w:t xml:space="preserve"> also be tensions </w:t>
      </w:r>
      <w:r w:rsidR="00E863FB" w:rsidRPr="008E6084">
        <w:rPr>
          <w:rFonts w:ascii="Century Schoolbook" w:hAnsi="Century Schoolbook" w:cstheme="majorBidi"/>
          <w:sz w:val="24"/>
          <w:szCs w:val="24"/>
        </w:rPr>
        <w:t>between different aspects of justice</w:t>
      </w:r>
      <w:r w:rsidRPr="008E6084">
        <w:rPr>
          <w:rFonts w:ascii="Century Schoolbook" w:hAnsi="Century Schoolbook" w:cstheme="majorBidi"/>
          <w:sz w:val="24"/>
          <w:szCs w:val="24"/>
        </w:rPr>
        <w:t>. This paper focus</w:t>
      </w:r>
      <w:r w:rsidR="00CB0133" w:rsidRPr="008E6084">
        <w:rPr>
          <w:rFonts w:ascii="Century Schoolbook" w:hAnsi="Century Schoolbook" w:cstheme="majorBidi"/>
          <w:sz w:val="24"/>
          <w:szCs w:val="24"/>
        </w:rPr>
        <w:t>es</w:t>
      </w:r>
      <w:r w:rsidRPr="008E6084">
        <w:rPr>
          <w:rFonts w:ascii="Century Schoolbook" w:hAnsi="Century Schoolbook" w:cstheme="majorBidi"/>
          <w:sz w:val="24"/>
          <w:szCs w:val="24"/>
        </w:rPr>
        <w:t xml:space="preserve"> on three </w:t>
      </w:r>
      <w:proofErr w:type="gramStart"/>
      <w:r w:rsidRPr="008E6084">
        <w:rPr>
          <w:rFonts w:ascii="Century Schoolbook" w:hAnsi="Century Schoolbook" w:cstheme="majorBidi"/>
          <w:sz w:val="24"/>
          <w:szCs w:val="24"/>
        </w:rPr>
        <w:t>particular aspects</w:t>
      </w:r>
      <w:proofErr w:type="gramEnd"/>
      <w:r w:rsidRPr="008E6084">
        <w:rPr>
          <w:rFonts w:ascii="Century Schoolbook" w:hAnsi="Century Schoolbook" w:cstheme="majorBidi"/>
          <w:sz w:val="24"/>
          <w:szCs w:val="24"/>
        </w:rPr>
        <w:t xml:space="preserve"> of justice relevant to this context</w:t>
      </w:r>
      <w:r w:rsidR="00F537D5" w:rsidRPr="008E6084">
        <w:rPr>
          <w:rFonts w:ascii="Century Schoolbook" w:hAnsi="Century Schoolbook" w:cstheme="majorBidi"/>
          <w:sz w:val="24"/>
          <w:szCs w:val="24"/>
        </w:rPr>
        <w:t>: social justice, distributive justice and human rights. The implications of each for</w:t>
      </w:r>
      <w:r w:rsidRPr="008E6084">
        <w:rPr>
          <w:rFonts w:ascii="Century Schoolbook" w:hAnsi="Century Schoolbook" w:cstheme="majorBidi"/>
          <w:sz w:val="24"/>
          <w:szCs w:val="24"/>
        </w:rPr>
        <w:t xml:space="preserve"> the use of race and ethnicity in</w:t>
      </w:r>
      <w:r w:rsidR="00F537D5" w:rsidRPr="008E6084">
        <w:rPr>
          <w:rFonts w:ascii="Century Schoolbook" w:hAnsi="Century Schoolbook" w:cstheme="majorBidi"/>
          <w:sz w:val="24"/>
          <w:szCs w:val="24"/>
        </w:rPr>
        <w:t xml:space="preserve"> precision medicine is described, along with how they intersect</w:t>
      </w:r>
      <w:r w:rsidRPr="008E6084">
        <w:rPr>
          <w:rFonts w:ascii="Century Schoolbook" w:hAnsi="Century Schoolbook" w:cstheme="majorBidi"/>
          <w:sz w:val="24"/>
          <w:szCs w:val="24"/>
        </w:rPr>
        <w:t xml:space="preserve"> and potentially conflict</w:t>
      </w:r>
      <w:r w:rsidR="00F537D5" w:rsidRPr="008E6084">
        <w:rPr>
          <w:rFonts w:ascii="Century Schoolbook" w:hAnsi="Century Schoolbook" w:cstheme="majorBidi"/>
          <w:sz w:val="24"/>
          <w:szCs w:val="24"/>
        </w:rPr>
        <w:t xml:space="preserve"> with one another. By attending to these intersections, we aim to enrich and add nuance to debates over how best to proceed with precision medicine initiatives.</w:t>
      </w:r>
    </w:p>
    <w:p w14:paraId="41C01B85" w14:textId="23552E0F" w:rsidR="00334477" w:rsidRPr="008E6084" w:rsidRDefault="00334477"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Key words: Justice; Precision Medicine; </w:t>
      </w:r>
      <w:r w:rsidR="004E478E" w:rsidRPr="008E6084">
        <w:rPr>
          <w:rFonts w:ascii="Century Schoolbook" w:hAnsi="Century Schoolbook" w:cstheme="majorBidi"/>
          <w:sz w:val="24"/>
          <w:szCs w:val="24"/>
        </w:rPr>
        <w:t>Distributive Justice; Social Justice; Human Rights</w:t>
      </w:r>
    </w:p>
    <w:p w14:paraId="15D4C2DA" w14:textId="1E43F106" w:rsidR="00E1494A" w:rsidRPr="008E6084" w:rsidRDefault="00E1494A" w:rsidP="006A3C89">
      <w:pPr>
        <w:spacing w:line="276" w:lineRule="auto"/>
        <w:jc w:val="both"/>
        <w:rPr>
          <w:rFonts w:ascii="Century Schoolbook" w:hAnsi="Century Schoolbook" w:cstheme="majorBidi"/>
          <w:sz w:val="24"/>
          <w:szCs w:val="24"/>
        </w:rPr>
      </w:pPr>
    </w:p>
    <w:p w14:paraId="33C91663" w14:textId="2332E33E" w:rsidR="00E1494A" w:rsidRPr="008E6084" w:rsidRDefault="00E1494A" w:rsidP="00E1494A">
      <w:pPr>
        <w:pStyle w:val="FootnoteText"/>
        <w:rPr>
          <w:rFonts w:ascii="Century Schoolbook" w:hAnsi="Century Schoolbook"/>
          <w:lang w:val="en-US"/>
        </w:rPr>
      </w:pPr>
      <w:r w:rsidRPr="008E6084">
        <w:rPr>
          <w:rStyle w:val="FootnoteReference"/>
          <w:rFonts w:ascii="Century Schoolbook" w:hAnsi="Century Schoolbook"/>
        </w:rPr>
        <w:t>i</w:t>
      </w:r>
      <w:r w:rsidRPr="008E6084">
        <w:rPr>
          <w:rFonts w:ascii="Century Schoolbook" w:hAnsi="Century Schoolbook"/>
        </w:rPr>
        <w:t xml:space="preserve"> Centre for Biomedical Ethics, Yong Loo Lin School of Medicine, National University of Singapore, Singapore</w:t>
      </w:r>
    </w:p>
    <w:p w14:paraId="446CA8DC" w14:textId="3FB4A453" w:rsidR="00E1494A" w:rsidRPr="008E6084" w:rsidRDefault="00E1494A" w:rsidP="00E1494A">
      <w:pPr>
        <w:pStyle w:val="FootnoteText"/>
        <w:rPr>
          <w:rFonts w:ascii="Century Schoolbook" w:hAnsi="Century Schoolbook"/>
          <w:lang w:val="en-US"/>
        </w:rPr>
      </w:pPr>
      <w:r w:rsidRPr="008E6084">
        <w:rPr>
          <w:rStyle w:val="FootnoteReference"/>
          <w:rFonts w:ascii="Century Schoolbook" w:hAnsi="Century Schoolbook"/>
        </w:rPr>
        <w:t>ii</w:t>
      </w:r>
      <w:r w:rsidRPr="008E6084">
        <w:rPr>
          <w:rFonts w:ascii="Century Schoolbook" w:hAnsi="Century Schoolbook"/>
        </w:rPr>
        <w:t xml:space="preserve"> Saw Swee Hock School of Public Health, National University of Singapore, and Division of Endocrinology, National University Hospital, Singapore</w:t>
      </w:r>
    </w:p>
    <w:p w14:paraId="2F824620" w14:textId="6D256CED" w:rsidR="00E1494A" w:rsidRPr="008E6084" w:rsidRDefault="00E1494A" w:rsidP="00E1494A">
      <w:pPr>
        <w:spacing w:line="276" w:lineRule="auto"/>
        <w:jc w:val="both"/>
        <w:rPr>
          <w:rFonts w:ascii="Century Schoolbook" w:hAnsi="Century Schoolbook" w:cstheme="majorBidi"/>
          <w:sz w:val="24"/>
          <w:szCs w:val="24"/>
        </w:rPr>
      </w:pPr>
      <w:r w:rsidRPr="008E6084">
        <w:rPr>
          <w:rStyle w:val="FootnoteReference"/>
          <w:rFonts w:ascii="Century Schoolbook" w:hAnsi="Century Schoolbook"/>
        </w:rPr>
        <w:t>iii</w:t>
      </w:r>
      <w:r w:rsidRPr="008E6084">
        <w:rPr>
          <w:rFonts w:ascii="Century Schoolbook" w:hAnsi="Century Schoolbook"/>
        </w:rPr>
        <w:t xml:space="preserve"> </w:t>
      </w:r>
      <w:r w:rsidRPr="008E6084">
        <w:rPr>
          <w:rFonts w:ascii="Century Schoolbook" w:hAnsi="Century Schoolbook" w:cs="Lato-Regular"/>
          <w:sz w:val="20"/>
          <w:szCs w:val="20"/>
        </w:rPr>
        <w:t>School of Social Sciences, Lee Kong Chian School of Medicine and School of Biological Sciences, Nanyang Technological University, Singapore</w:t>
      </w:r>
    </w:p>
    <w:p w14:paraId="0C8DA1FF" w14:textId="05F61CA8" w:rsidR="00F537D5" w:rsidRPr="008E6084" w:rsidRDefault="00F537D5" w:rsidP="006A3C89">
      <w:pPr>
        <w:spacing w:line="276" w:lineRule="auto"/>
        <w:jc w:val="both"/>
        <w:rPr>
          <w:rFonts w:ascii="Century Schoolbook" w:hAnsi="Century Schoolbook" w:cstheme="majorBidi"/>
          <w:sz w:val="24"/>
          <w:szCs w:val="24"/>
        </w:rPr>
      </w:pPr>
    </w:p>
    <w:p w14:paraId="1725A505" w14:textId="77777777" w:rsidR="004E478E" w:rsidRPr="008E6084" w:rsidRDefault="004E478E" w:rsidP="006A3C89">
      <w:pPr>
        <w:spacing w:line="276" w:lineRule="auto"/>
        <w:rPr>
          <w:rFonts w:ascii="Century Schoolbook" w:hAnsi="Century Schoolbook" w:cstheme="majorBidi"/>
          <w:sz w:val="24"/>
          <w:szCs w:val="24"/>
        </w:rPr>
      </w:pPr>
      <w:r w:rsidRPr="008E6084">
        <w:rPr>
          <w:rFonts w:ascii="Century Schoolbook" w:hAnsi="Century Schoolbook" w:cstheme="majorBidi"/>
          <w:sz w:val="24"/>
          <w:szCs w:val="24"/>
        </w:rPr>
        <w:br w:type="page"/>
      </w:r>
    </w:p>
    <w:p w14:paraId="4DB613A0" w14:textId="33F34833" w:rsidR="00F537D5" w:rsidRPr="008E6084" w:rsidRDefault="00F537D5" w:rsidP="006A3C89">
      <w:pPr>
        <w:pStyle w:val="ListParagraph"/>
        <w:numPr>
          <w:ilvl w:val="0"/>
          <w:numId w:val="2"/>
        </w:num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lastRenderedPageBreak/>
        <w:t>Introduction</w:t>
      </w:r>
    </w:p>
    <w:p w14:paraId="6234DED0" w14:textId="0E9047E0" w:rsidR="00F537D5" w:rsidRPr="008E6084" w:rsidRDefault="00C970D2"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Precision medicine </w:t>
      </w:r>
      <w:r w:rsidR="004A281E" w:rsidRPr="008E6084">
        <w:rPr>
          <w:rFonts w:ascii="Century Schoolbook" w:hAnsi="Century Schoolbook" w:cstheme="majorBidi"/>
          <w:sz w:val="24"/>
          <w:szCs w:val="24"/>
        </w:rPr>
        <w:t xml:space="preserve">is often defined in terms of its </w:t>
      </w:r>
      <w:r w:rsidR="004A281E" w:rsidRPr="008E6084">
        <w:rPr>
          <w:rFonts w:ascii="Century Schoolbook" w:hAnsi="Century Schoolbook" w:cstheme="majorBidi"/>
          <w:i/>
          <w:sz w:val="24"/>
          <w:szCs w:val="24"/>
        </w:rPr>
        <w:t>rightness</w:t>
      </w:r>
      <w:r w:rsidR="004A281E" w:rsidRPr="008E6084">
        <w:rPr>
          <w:rFonts w:ascii="Century Schoolbook" w:hAnsi="Century Schoolbook" w:cstheme="majorBidi"/>
          <w:sz w:val="24"/>
          <w:szCs w:val="24"/>
        </w:rPr>
        <w:t xml:space="preserve">: ‘getting the </w:t>
      </w:r>
      <w:r w:rsidR="004A281E" w:rsidRPr="008E6084">
        <w:rPr>
          <w:rFonts w:ascii="Century Schoolbook" w:hAnsi="Century Schoolbook" w:cstheme="majorBidi"/>
          <w:i/>
          <w:sz w:val="24"/>
          <w:szCs w:val="24"/>
        </w:rPr>
        <w:t>right</w:t>
      </w:r>
      <w:r w:rsidR="004A281E" w:rsidRPr="008E6084">
        <w:rPr>
          <w:rFonts w:ascii="Century Schoolbook" w:hAnsi="Century Schoolbook" w:cstheme="majorBidi"/>
          <w:sz w:val="24"/>
          <w:szCs w:val="24"/>
        </w:rPr>
        <w:t xml:space="preserve"> treatment to the </w:t>
      </w:r>
      <w:r w:rsidR="004A281E" w:rsidRPr="008E6084">
        <w:rPr>
          <w:rFonts w:ascii="Century Schoolbook" w:hAnsi="Century Schoolbook" w:cstheme="majorBidi"/>
          <w:i/>
          <w:sz w:val="24"/>
          <w:szCs w:val="24"/>
        </w:rPr>
        <w:t>right</w:t>
      </w:r>
      <w:r w:rsidR="004A281E" w:rsidRPr="008E6084">
        <w:rPr>
          <w:rFonts w:ascii="Century Schoolbook" w:hAnsi="Century Schoolbook" w:cstheme="majorBidi"/>
          <w:sz w:val="24"/>
          <w:szCs w:val="24"/>
        </w:rPr>
        <w:t xml:space="preserve"> patient at the </w:t>
      </w:r>
      <w:r w:rsidR="004A281E" w:rsidRPr="008E6084">
        <w:rPr>
          <w:rFonts w:ascii="Century Schoolbook" w:hAnsi="Century Schoolbook" w:cstheme="majorBidi"/>
          <w:i/>
          <w:sz w:val="24"/>
          <w:szCs w:val="24"/>
        </w:rPr>
        <w:t>right</w:t>
      </w:r>
      <w:r w:rsidR="004A281E" w:rsidRPr="008E6084">
        <w:rPr>
          <w:rFonts w:ascii="Century Schoolbook" w:hAnsi="Century Schoolbook" w:cstheme="majorBidi"/>
          <w:sz w:val="24"/>
          <w:szCs w:val="24"/>
        </w:rPr>
        <w:t xml:space="preserve"> time.’</w:t>
      </w:r>
      <w:r w:rsidR="008A5A1D" w:rsidRPr="008E6084">
        <w:rPr>
          <w:rStyle w:val="FootnoteReference"/>
          <w:rFonts w:ascii="Century Schoolbook" w:hAnsi="Century Schoolbook" w:cstheme="majorBidi"/>
          <w:sz w:val="24"/>
          <w:szCs w:val="24"/>
        </w:rPr>
        <w:footnoteReference w:id="1"/>
      </w:r>
      <w:r w:rsidR="008A5A1D" w:rsidRPr="008E6084">
        <w:rPr>
          <w:rFonts w:ascii="Century Schoolbook" w:hAnsi="Century Schoolbook" w:cstheme="majorBidi"/>
          <w:sz w:val="24"/>
          <w:szCs w:val="24"/>
        </w:rPr>
        <w:t xml:space="preserve"> </w:t>
      </w:r>
      <w:r w:rsidR="004A281E" w:rsidRPr="008E6084">
        <w:rPr>
          <w:rFonts w:ascii="Century Schoolbook" w:hAnsi="Century Schoolbook" w:cstheme="majorBidi"/>
          <w:sz w:val="24"/>
          <w:szCs w:val="24"/>
        </w:rPr>
        <w:t>Here, ‘rightness’ is meant roughly in terms of ‘correct’ or ‘appropriate’ – what will be most effective at treating (or prevent</w:t>
      </w:r>
      <w:r w:rsidR="00FF28E4" w:rsidRPr="008E6084">
        <w:rPr>
          <w:rFonts w:ascii="Century Schoolbook" w:hAnsi="Century Schoolbook" w:cstheme="majorBidi"/>
          <w:sz w:val="24"/>
          <w:szCs w:val="24"/>
        </w:rPr>
        <w:t>ing</w:t>
      </w:r>
      <w:r w:rsidR="004A281E" w:rsidRPr="008E6084">
        <w:rPr>
          <w:rFonts w:ascii="Century Schoolbook" w:hAnsi="Century Schoolbook" w:cstheme="majorBidi"/>
          <w:sz w:val="24"/>
          <w:szCs w:val="24"/>
        </w:rPr>
        <w:t>, alleviat</w:t>
      </w:r>
      <w:r w:rsidR="00FF28E4" w:rsidRPr="008E6084">
        <w:rPr>
          <w:rFonts w:ascii="Century Schoolbook" w:hAnsi="Century Schoolbook" w:cstheme="majorBidi"/>
          <w:sz w:val="24"/>
          <w:szCs w:val="24"/>
        </w:rPr>
        <w:t>ing</w:t>
      </w:r>
      <w:r w:rsidR="004A281E" w:rsidRPr="008E6084">
        <w:rPr>
          <w:rFonts w:ascii="Century Schoolbook" w:hAnsi="Century Schoolbook" w:cstheme="majorBidi"/>
          <w:sz w:val="24"/>
          <w:szCs w:val="24"/>
        </w:rPr>
        <w:t xml:space="preserve">, etc.) a given condition. But talk of rightness also </w:t>
      </w:r>
      <w:proofErr w:type="gramStart"/>
      <w:r w:rsidR="004A281E" w:rsidRPr="008E6084">
        <w:rPr>
          <w:rFonts w:ascii="Century Schoolbook" w:hAnsi="Century Schoolbook" w:cstheme="majorBidi"/>
          <w:sz w:val="24"/>
          <w:szCs w:val="24"/>
        </w:rPr>
        <w:t>brings to mind</w:t>
      </w:r>
      <w:proofErr w:type="gramEnd"/>
      <w:r w:rsidR="004A281E" w:rsidRPr="008E6084">
        <w:rPr>
          <w:rFonts w:ascii="Century Schoolbook" w:hAnsi="Century Schoolbook" w:cstheme="majorBidi"/>
          <w:sz w:val="24"/>
          <w:szCs w:val="24"/>
        </w:rPr>
        <w:t xml:space="preserve"> other considerations, of morality and justice, that – while perhaps not intended in the definition – are nevertheless </w:t>
      </w:r>
      <w:r w:rsidR="001458CE" w:rsidRPr="008E6084">
        <w:rPr>
          <w:rFonts w:ascii="Century Schoolbook" w:hAnsi="Century Schoolbook" w:cstheme="majorBidi"/>
          <w:sz w:val="24"/>
          <w:szCs w:val="24"/>
        </w:rPr>
        <w:t>important</w:t>
      </w:r>
      <w:r w:rsidR="004A281E" w:rsidRPr="008E6084">
        <w:rPr>
          <w:rFonts w:ascii="Century Schoolbook" w:hAnsi="Century Schoolbook" w:cstheme="majorBidi"/>
          <w:sz w:val="24"/>
          <w:szCs w:val="24"/>
        </w:rPr>
        <w:t>, even crucial, to the development of precision medicine.</w:t>
      </w:r>
    </w:p>
    <w:p w14:paraId="1B0AD54E" w14:textId="68E6345B" w:rsidR="00463DA8" w:rsidRPr="008E6084" w:rsidRDefault="00953DDE"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O</w:t>
      </w:r>
      <w:r w:rsidR="00EC636A" w:rsidRPr="008E6084">
        <w:rPr>
          <w:rFonts w:ascii="Century Schoolbook" w:hAnsi="Century Schoolbook" w:cstheme="majorBidi"/>
          <w:sz w:val="24"/>
          <w:szCs w:val="24"/>
        </w:rPr>
        <w:t>f relevance</w:t>
      </w:r>
      <w:r w:rsidRPr="008E6084">
        <w:rPr>
          <w:rFonts w:ascii="Century Schoolbook" w:hAnsi="Century Schoolbook" w:cstheme="majorBidi"/>
          <w:sz w:val="24"/>
          <w:szCs w:val="24"/>
        </w:rPr>
        <w:t xml:space="preserve"> is the sordid history of pseudo-scientific attempts to link race and ethnicity to genetics. </w:t>
      </w:r>
      <w:r w:rsidR="007A5D2A" w:rsidRPr="008E6084">
        <w:rPr>
          <w:rFonts w:ascii="Century Schoolbook" w:hAnsi="Century Schoolbook" w:cstheme="majorBidi"/>
          <w:sz w:val="24"/>
          <w:szCs w:val="24"/>
        </w:rPr>
        <w:t>While notions of natural racial and ethnic supremacy and inferiority certainly predate the emergence of evolutionary biology, genetics research has been leveraged from its very inception to pernicious ends. Herbert Spencer’s work in the 19</w:t>
      </w:r>
      <w:r w:rsidR="007A5D2A" w:rsidRPr="008E6084">
        <w:rPr>
          <w:rFonts w:ascii="Century Schoolbook" w:hAnsi="Century Schoolbook" w:cstheme="majorBidi"/>
          <w:sz w:val="24"/>
          <w:szCs w:val="24"/>
          <w:vertAlign w:val="superscript"/>
        </w:rPr>
        <w:t>th</w:t>
      </w:r>
      <w:r w:rsidR="007A5D2A" w:rsidRPr="008E6084">
        <w:rPr>
          <w:rFonts w:ascii="Century Schoolbook" w:hAnsi="Century Schoolbook" w:cstheme="majorBidi"/>
          <w:sz w:val="24"/>
          <w:szCs w:val="24"/>
        </w:rPr>
        <w:t xml:space="preserve"> century was particularly influential in this regard, applying Darwin’s theories to argue that certain races and societies were, at a biological level, uncivilized and intellectually incapable.</w:t>
      </w:r>
      <w:r w:rsidR="007A5D2A" w:rsidRPr="008E6084">
        <w:rPr>
          <w:rStyle w:val="FootnoteReference"/>
          <w:rFonts w:ascii="Century Schoolbook" w:hAnsi="Century Schoolbook" w:cstheme="majorBidi"/>
          <w:sz w:val="24"/>
          <w:szCs w:val="24"/>
        </w:rPr>
        <w:footnoteReference w:id="2"/>
      </w:r>
      <w:r w:rsidR="007A5D2A" w:rsidRPr="008E6084">
        <w:rPr>
          <w:rFonts w:ascii="Century Schoolbook" w:hAnsi="Century Schoolbook" w:cstheme="majorBidi"/>
          <w:sz w:val="24"/>
          <w:szCs w:val="24"/>
        </w:rPr>
        <w:t xml:space="preserve"> This gave rise to the 20</w:t>
      </w:r>
      <w:r w:rsidR="007A5D2A" w:rsidRPr="008E6084">
        <w:rPr>
          <w:rFonts w:ascii="Century Schoolbook" w:hAnsi="Century Schoolbook" w:cstheme="majorBidi"/>
          <w:sz w:val="24"/>
          <w:szCs w:val="24"/>
          <w:vertAlign w:val="superscript"/>
        </w:rPr>
        <w:t>th</w:t>
      </w:r>
      <w:r w:rsidR="007A5D2A" w:rsidRPr="008E6084">
        <w:rPr>
          <w:rFonts w:ascii="Century Schoolbook" w:hAnsi="Century Schoolbook" w:cstheme="majorBidi"/>
          <w:sz w:val="24"/>
          <w:szCs w:val="24"/>
        </w:rPr>
        <w:t xml:space="preserve"> century eugenics</w:t>
      </w:r>
      <w:r w:rsidR="00463DA8" w:rsidRPr="008E6084">
        <w:rPr>
          <w:rFonts w:ascii="Century Schoolbook" w:hAnsi="Century Schoolbook" w:cstheme="majorBidi"/>
          <w:sz w:val="24"/>
          <w:szCs w:val="24"/>
        </w:rPr>
        <w:t xml:space="preserve"> movement, which pressed for the logical extension of social Darwinism – that members of certain undesirable groups should be selectively sterilized or otherwise prevented from reproducing, to improve the overall gene pool.</w:t>
      </w:r>
      <w:r w:rsidR="00463DA8" w:rsidRPr="008E6084">
        <w:rPr>
          <w:rStyle w:val="FootnoteReference"/>
          <w:rFonts w:ascii="Century Schoolbook" w:hAnsi="Century Schoolbook" w:cstheme="majorBidi"/>
          <w:sz w:val="24"/>
          <w:szCs w:val="24"/>
        </w:rPr>
        <w:footnoteReference w:id="3"/>
      </w:r>
    </w:p>
    <w:p w14:paraId="709F2709" w14:textId="0E4C4B55" w:rsidR="002D4B8D" w:rsidRPr="008E6084" w:rsidRDefault="00463DA8"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This is not to suggest that precision medicine today is at risk of revitalizing the coercive eugenics movement of the 20</w:t>
      </w:r>
      <w:r w:rsidRPr="008E6084">
        <w:rPr>
          <w:rFonts w:ascii="Century Schoolbook" w:hAnsi="Century Schoolbook" w:cstheme="majorBidi"/>
          <w:sz w:val="24"/>
          <w:szCs w:val="24"/>
          <w:vertAlign w:val="superscript"/>
        </w:rPr>
        <w:t>th</w:t>
      </w:r>
      <w:r w:rsidRPr="008E6084">
        <w:rPr>
          <w:rFonts w:ascii="Century Schoolbook" w:hAnsi="Century Schoolbook" w:cstheme="majorBidi"/>
          <w:sz w:val="24"/>
          <w:szCs w:val="24"/>
        </w:rPr>
        <w:t xml:space="preserve"> century. Human rights discourse and our understanding of race, ethnicity and genetics ha</w:t>
      </w:r>
      <w:r w:rsidR="00BB3A8F" w:rsidRPr="008E6084">
        <w:rPr>
          <w:rFonts w:ascii="Century Schoolbook" w:hAnsi="Century Schoolbook" w:cstheme="majorBidi"/>
          <w:sz w:val="24"/>
          <w:szCs w:val="24"/>
        </w:rPr>
        <w:t>ve</w:t>
      </w:r>
      <w:r w:rsidRPr="008E6084">
        <w:rPr>
          <w:rFonts w:ascii="Century Schoolbook" w:hAnsi="Century Schoolbook" w:cstheme="majorBidi"/>
          <w:sz w:val="24"/>
          <w:szCs w:val="24"/>
        </w:rPr>
        <w:t xml:space="preserve"> progressed substantially since that period. Nevertheless, </w:t>
      </w:r>
      <w:r w:rsidR="00EC636A" w:rsidRPr="008E6084">
        <w:rPr>
          <w:rFonts w:ascii="Century Schoolbook" w:hAnsi="Century Schoolbook" w:cstheme="majorBidi"/>
          <w:sz w:val="24"/>
          <w:szCs w:val="24"/>
        </w:rPr>
        <w:t xml:space="preserve">concerns remain – particularly that the linking of race and ethnicity to genetics reinforces objectionable views about biology of race and ethnicity, which can in turn be seen by some as licensing disrespectful attitudes and discriminatory treatment. At the same time, there is a large push to expand precision medicine research to be of greater relevance to individuals currently underrepresented in international databases and studies that </w:t>
      </w:r>
      <w:r w:rsidR="00BB3A8F" w:rsidRPr="008E6084">
        <w:rPr>
          <w:rFonts w:ascii="Century Schoolbook" w:hAnsi="Century Schoolbook" w:cstheme="majorBidi"/>
          <w:sz w:val="24"/>
          <w:szCs w:val="24"/>
        </w:rPr>
        <w:t xml:space="preserve">so far have </w:t>
      </w:r>
      <w:r w:rsidR="00EC636A" w:rsidRPr="008E6084">
        <w:rPr>
          <w:rFonts w:ascii="Century Schoolbook" w:hAnsi="Century Schoolbook" w:cstheme="majorBidi"/>
          <w:sz w:val="24"/>
          <w:szCs w:val="24"/>
        </w:rPr>
        <w:t>centre</w:t>
      </w:r>
      <w:r w:rsidR="00BB3A8F" w:rsidRPr="008E6084">
        <w:rPr>
          <w:rFonts w:ascii="Century Schoolbook" w:hAnsi="Century Schoolbook" w:cstheme="majorBidi"/>
          <w:sz w:val="24"/>
          <w:szCs w:val="24"/>
        </w:rPr>
        <w:t>d</w:t>
      </w:r>
      <w:r w:rsidR="00EC636A" w:rsidRPr="008E6084">
        <w:rPr>
          <w:rFonts w:ascii="Century Schoolbook" w:hAnsi="Century Schoolbook" w:cstheme="majorBidi"/>
          <w:sz w:val="24"/>
          <w:szCs w:val="24"/>
        </w:rPr>
        <w:t xml:space="preserve"> on individuals of European </w:t>
      </w:r>
      <w:r w:rsidR="00B56474" w:rsidRPr="008E6084">
        <w:rPr>
          <w:rFonts w:ascii="Century Schoolbook" w:hAnsi="Century Schoolbook" w:cstheme="majorBidi"/>
          <w:sz w:val="24"/>
          <w:szCs w:val="24"/>
        </w:rPr>
        <w:t>ancestry</w:t>
      </w:r>
      <w:r w:rsidR="00EC636A" w:rsidRPr="008E6084">
        <w:rPr>
          <w:rFonts w:ascii="Century Schoolbook" w:hAnsi="Century Schoolbook" w:cstheme="majorBidi"/>
          <w:sz w:val="24"/>
          <w:szCs w:val="24"/>
        </w:rPr>
        <w:t>.</w:t>
      </w:r>
      <w:r w:rsidR="00B56474" w:rsidRPr="008E6084">
        <w:rPr>
          <w:rFonts w:ascii="Century Schoolbook" w:hAnsi="Century Schoolbook" w:cstheme="majorBidi"/>
          <w:sz w:val="24"/>
          <w:szCs w:val="24"/>
        </w:rPr>
        <w:t xml:space="preserve"> Race and ethnicity are sometimes used as proxies for under-represented groups, though differences in population history or environmental exposure may be of more direct relevance. </w:t>
      </w:r>
    </w:p>
    <w:p w14:paraId="74AB4189" w14:textId="6DEF9508" w:rsidR="000F498E" w:rsidRPr="008E6084" w:rsidRDefault="000F498E"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lastRenderedPageBreak/>
        <w:t xml:space="preserve">In this essay, we will attempt to make headway with some of these </w:t>
      </w:r>
      <w:r w:rsidR="005F404A" w:rsidRPr="008E6084">
        <w:rPr>
          <w:rFonts w:ascii="Century Schoolbook" w:hAnsi="Century Schoolbook" w:cstheme="majorBidi"/>
          <w:sz w:val="24"/>
          <w:szCs w:val="24"/>
        </w:rPr>
        <w:t xml:space="preserve">issues </w:t>
      </w:r>
      <w:r w:rsidRPr="008E6084">
        <w:rPr>
          <w:rFonts w:ascii="Century Schoolbook" w:hAnsi="Century Schoolbook" w:cstheme="majorBidi"/>
          <w:sz w:val="24"/>
          <w:szCs w:val="24"/>
        </w:rPr>
        <w:t xml:space="preserve">by exploring three </w:t>
      </w:r>
      <w:r w:rsidR="00EC636A" w:rsidRPr="008E6084">
        <w:rPr>
          <w:rFonts w:ascii="Century Schoolbook" w:hAnsi="Century Schoolbook" w:cstheme="majorBidi"/>
          <w:sz w:val="24"/>
          <w:szCs w:val="24"/>
        </w:rPr>
        <w:t>aspects</w:t>
      </w:r>
      <w:r w:rsidRPr="008E6084">
        <w:rPr>
          <w:rFonts w:ascii="Century Schoolbook" w:hAnsi="Century Schoolbook" w:cstheme="majorBidi"/>
          <w:sz w:val="24"/>
          <w:szCs w:val="24"/>
        </w:rPr>
        <w:t xml:space="preserve"> of justice in the context of precision medicine: social justice, distributi</w:t>
      </w:r>
      <w:r w:rsidR="005F1C53" w:rsidRPr="008E6084">
        <w:rPr>
          <w:rFonts w:ascii="Century Schoolbook" w:hAnsi="Century Schoolbook" w:cstheme="majorBidi"/>
          <w:sz w:val="24"/>
          <w:szCs w:val="24"/>
        </w:rPr>
        <w:t>ve</w:t>
      </w:r>
      <w:r w:rsidRPr="008E6084">
        <w:rPr>
          <w:rFonts w:ascii="Century Schoolbook" w:hAnsi="Century Schoolbook" w:cstheme="majorBidi"/>
          <w:sz w:val="24"/>
          <w:szCs w:val="24"/>
        </w:rPr>
        <w:t xml:space="preserve"> justice, and human rights. These are not the only aspects of justice potentially relevant to </w:t>
      </w:r>
      <w:r w:rsidR="00EC636A" w:rsidRPr="008E6084">
        <w:rPr>
          <w:rFonts w:ascii="Century Schoolbook" w:hAnsi="Century Schoolbook" w:cstheme="majorBidi"/>
          <w:sz w:val="24"/>
          <w:szCs w:val="24"/>
        </w:rPr>
        <w:t xml:space="preserve">race, ethnicity and </w:t>
      </w:r>
      <w:r w:rsidRPr="008E6084">
        <w:rPr>
          <w:rFonts w:ascii="Century Schoolbook" w:hAnsi="Century Schoolbook" w:cstheme="majorBidi"/>
          <w:sz w:val="24"/>
          <w:szCs w:val="24"/>
        </w:rPr>
        <w:t>precision medicine (others might include proceduralism</w:t>
      </w:r>
      <w:r w:rsidR="00B43A76" w:rsidRPr="008E6084">
        <w:rPr>
          <w:rStyle w:val="FootnoteReference"/>
          <w:rFonts w:ascii="Century Schoolbook" w:hAnsi="Century Schoolbook" w:cstheme="majorBidi"/>
          <w:sz w:val="24"/>
          <w:szCs w:val="24"/>
        </w:rPr>
        <w:footnoteReference w:id="4"/>
      </w:r>
      <w:r w:rsidRPr="008E6084">
        <w:rPr>
          <w:rFonts w:ascii="Century Schoolbook" w:hAnsi="Century Schoolbook" w:cstheme="majorBidi"/>
          <w:sz w:val="24"/>
          <w:szCs w:val="24"/>
        </w:rPr>
        <w:t xml:space="preserve"> or political legitimacy</w:t>
      </w:r>
      <w:r w:rsidR="00B43A76" w:rsidRPr="008E6084">
        <w:rPr>
          <w:rStyle w:val="FootnoteReference"/>
          <w:rFonts w:ascii="Century Schoolbook" w:hAnsi="Century Schoolbook" w:cstheme="majorBidi"/>
          <w:sz w:val="24"/>
          <w:szCs w:val="24"/>
        </w:rPr>
        <w:footnoteReference w:id="5"/>
      </w:r>
      <w:r w:rsidRPr="008E6084">
        <w:rPr>
          <w:rFonts w:ascii="Century Schoolbook" w:hAnsi="Century Schoolbook" w:cstheme="majorBidi"/>
          <w:sz w:val="24"/>
          <w:szCs w:val="24"/>
        </w:rPr>
        <w:t>), nor can we fully survey the entire applications of these three aspects in the context of precision medicine.  However, the topics we do cover should give an indicative picture of the rich layers of justice-based concerns that have been or should be raised. Moreover, existing discussions tend to focus on just one aspect of justice or another.</w:t>
      </w:r>
      <w:r w:rsidR="00465872" w:rsidRPr="008E6084">
        <w:rPr>
          <w:rStyle w:val="FootnoteReference"/>
          <w:rFonts w:ascii="Century Schoolbook" w:hAnsi="Century Schoolbook" w:cstheme="majorBidi"/>
          <w:sz w:val="24"/>
          <w:szCs w:val="24"/>
        </w:rPr>
        <w:footnoteReference w:id="6"/>
      </w:r>
      <w:r w:rsidRPr="008E6084">
        <w:rPr>
          <w:rFonts w:ascii="Century Schoolbook" w:hAnsi="Century Schoolbook" w:cstheme="majorBidi"/>
          <w:sz w:val="24"/>
          <w:szCs w:val="24"/>
        </w:rPr>
        <w:t xml:space="preserve"> </w:t>
      </w:r>
      <w:r w:rsidR="00FB189D" w:rsidRPr="008E6084">
        <w:rPr>
          <w:rFonts w:ascii="Century Schoolbook" w:hAnsi="Century Schoolbook" w:cstheme="majorBidi"/>
          <w:sz w:val="24"/>
          <w:szCs w:val="24"/>
        </w:rPr>
        <w:t>E</w:t>
      </w:r>
      <w:r w:rsidRPr="008E6084">
        <w:rPr>
          <w:rFonts w:ascii="Century Schoolbook" w:hAnsi="Century Schoolbook" w:cstheme="majorBidi"/>
          <w:sz w:val="24"/>
          <w:szCs w:val="24"/>
        </w:rPr>
        <w:t xml:space="preserve">xploring </w:t>
      </w:r>
      <w:r w:rsidR="00D91A7B" w:rsidRPr="008E6084">
        <w:rPr>
          <w:rFonts w:ascii="Century Schoolbook" w:hAnsi="Century Schoolbook" w:cstheme="majorBidi"/>
          <w:sz w:val="24"/>
          <w:szCs w:val="24"/>
        </w:rPr>
        <w:t xml:space="preserve">the </w:t>
      </w:r>
      <w:r w:rsidRPr="008E6084">
        <w:rPr>
          <w:rFonts w:ascii="Century Schoolbook" w:hAnsi="Century Schoolbook" w:cstheme="majorBidi"/>
          <w:sz w:val="24"/>
          <w:szCs w:val="24"/>
        </w:rPr>
        <w:t>three together</w:t>
      </w:r>
      <w:r w:rsidR="00FB189D" w:rsidRPr="008E6084">
        <w:rPr>
          <w:rFonts w:ascii="Century Schoolbook" w:hAnsi="Century Schoolbook" w:cstheme="majorBidi"/>
          <w:sz w:val="24"/>
          <w:szCs w:val="24"/>
        </w:rPr>
        <w:t xml:space="preserve"> allows</w:t>
      </w:r>
      <w:r w:rsidRPr="008E6084">
        <w:rPr>
          <w:rFonts w:ascii="Century Schoolbook" w:hAnsi="Century Schoolbook" w:cstheme="majorBidi"/>
          <w:sz w:val="24"/>
          <w:szCs w:val="24"/>
        </w:rPr>
        <w:t xml:space="preserve"> </w:t>
      </w:r>
      <w:r w:rsidR="00A272A2" w:rsidRPr="008E6084">
        <w:rPr>
          <w:rFonts w:ascii="Century Schoolbook" w:hAnsi="Century Schoolbook" w:cstheme="majorBidi"/>
          <w:sz w:val="24"/>
          <w:szCs w:val="24"/>
        </w:rPr>
        <w:t xml:space="preserve">us </w:t>
      </w:r>
      <w:r w:rsidR="00FB189D" w:rsidRPr="008E6084">
        <w:rPr>
          <w:rFonts w:ascii="Century Schoolbook" w:hAnsi="Century Schoolbook" w:cstheme="majorBidi"/>
          <w:sz w:val="24"/>
          <w:szCs w:val="24"/>
        </w:rPr>
        <w:t xml:space="preserve">to </w:t>
      </w:r>
      <w:r w:rsidRPr="008E6084">
        <w:rPr>
          <w:rFonts w:ascii="Century Schoolbook" w:hAnsi="Century Schoolbook" w:cstheme="majorBidi"/>
          <w:sz w:val="24"/>
          <w:szCs w:val="24"/>
        </w:rPr>
        <w:t>highlight the tensions between them,</w:t>
      </w:r>
      <w:r w:rsidR="005C62C8" w:rsidRPr="008E6084">
        <w:rPr>
          <w:rFonts w:ascii="Century Schoolbook" w:hAnsi="Century Schoolbook" w:cstheme="majorBidi"/>
          <w:sz w:val="24"/>
          <w:szCs w:val="24"/>
        </w:rPr>
        <w:t xml:space="preserve"> </w:t>
      </w:r>
      <w:r w:rsidRPr="008E6084">
        <w:rPr>
          <w:rFonts w:ascii="Century Schoolbook" w:hAnsi="Century Schoolbook" w:cstheme="majorBidi"/>
          <w:sz w:val="24"/>
          <w:szCs w:val="24"/>
        </w:rPr>
        <w:t>and point</w:t>
      </w:r>
      <w:r w:rsidR="004F573E" w:rsidRPr="008E6084">
        <w:rPr>
          <w:rFonts w:ascii="Century Schoolbook" w:hAnsi="Century Schoolbook" w:cstheme="majorBidi"/>
          <w:sz w:val="24"/>
          <w:szCs w:val="24"/>
        </w:rPr>
        <w:t>s</w:t>
      </w:r>
      <w:r w:rsidRPr="008E6084">
        <w:rPr>
          <w:rFonts w:ascii="Century Schoolbook" w:hAnsi="Century Schoolbook" w:cstheme="majorBidi"/>
          <w:sz w:val="24"/>
          <w:szCs w:val="24"/>
        </w:rPr>
        <w:t xml:space="preserve"> towards potential avenues of resolution.</w:t>
      </w:r>
    </w:p>
    <w:p w14:paraId="288384FF" w14:textId="771CE272" w:rsidR="00D62407" w:rsidRPr="008E6084" w:rsidRDefault="00D15E11"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t>D</w:t>
      </w:r>
      <w:r w:rsidR="00372B17" w:rsidRPr="008E6084">
        <w:rPr>
          <w:rFonts w:ascii="Century Schoolbook" w:hAnsi="Century Schoolbook" w:cstheme="majorBidi"/>
          <w:i/>
          <w:sz w:val="24"/>
          <w:szCs w:val="24"/>
        </w:rPr>
        <w:t>efinitions</w:t>
      </w:r>
    </w:p>
    <w:p w14:paraId="058E5BDA" w14:textId="4E0F3FD4" w:rsidR="00372B17" w:rsidRPr="008E6084" w:rsidRDefault="00DD6F82"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Several concepts will need to be clarified before we proceed: precision medicine itself, as well as the three aspects of justice to be explored (social justice, distributive justice and human rights).</w:t>
      </w:r>
    </w:p>
    <w:p w14:paraId="1E546429" w14:textId="773950DC" w:rsidR="0012648E" w:rsidRPr="008E6084" w:rsidRDefault="006F5CF9"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P</w:t>
      </w:r>
      <w:r w:rsidR="00521964" w:rsidRPr="008E6084">
        <w:rPr>
          <w:rFonts w:ascii="Century Schoolbook" w:hAnsi="Century Schoolbook" w:cstheme="majorBidi"/>
          <w:sz w:val="24"/>
          <w:szCs w:val="24"/>
        </w:rPr>
        <w:t>recision medicine uses relevant biological, medical, behavioural and environmental information about a person to further personalize their healthcare. This could mean better prediction of someone’s disease risk and more effective diagnosis and treatment if they have a condition. While precision medicine technically relies on a wide array of information, genetic data has proven to be central to many initiatives and interventions pursued in its name.</w:t>
      </w:r>
      <w:r w:rsidR="003E04E6" w:rsidRPr="008E6084">
        <w:rPr>
          <w:rFonts w:ascii="Century Schoolbook" w:hAnsi="Century Schoolbook" w:cstheme="majorBidi"/>
          <w:sz w:val="24"/>
          <w:szCs w:val="24"/>
        </w:rPr>
        <w:t xml:space="preserve"> </w:t>
      </w:r>
      <w:r w:rsidR="00B56474" w:rsidRPr="008E6084">
        <w:rPr>
          <w:rFonts w:ascii="Century Schoolbook" w:hAnsi="Century Schoolbook" w:cstheme="majorBidi"/>
          <w:sz w:val="24"/>
          <w:szCs w:val="24"/>
        </w:rPr>
        <w:t xml:space="preserve">In part, this </w:t>
      </w:r>
      <w:r w:rsidR="00260070" w:rsidRPr="008E6084">
        <w:rPr>
          <w:rFonts w:ascii="Century Schoolbook" w:hAnsi="Century Schoolbook" w:cstheme="majorBidi"/>
          <w:sz w:val="24"/>
          <w:szCs w:val="24"/>
        </w:rPr>
        <w:t xml:space="preserve">is due to the substantial role of genetics in </w:t>
      </w:r>
      <w:r w:rsidR="003E4EAC" w:rsidRPr="008E6084">
        <w:rPr>
          <w:rFonts w:ascii="Century Schoolbook" w:hAnsi="Century Schoolbook" w:cstheme="majorBidi"/>
          <w:sz w:val="24"/>
          <w:szCs w:val="24"/>
        </w:rPr>
        <w:t>causing disease and affecting the reaction to treatment.  Genetics can also provide clues that could lead to the development of new treatments</w:t>
      </w:r>
      <w:r w:rsidR="0012648E" w:rsidRPr="008E6084">
        <w:rPr>
          <w:rFonts w:ascii="Century Schoolbook" w:hAnsi="Century Schoolbook" w:cstheme="majorBidi"/>
          <w:sz w:val="24"/>
          <w:szCs w:val="24"/>
        </w:rPr>
        <w:t>.</w:t>
      </w:r>
      <w:r w:rsidR="003E4EAC" w:rsidRPr="008E6084" w:rsidDel="003E4EAC">
        <w:rPr>
          <w:rFonts w:ascii="Century Schoolbook" w:hAnsi="Century Schoolbook" w:cstheme="majorBidi"/>
          <w:sz w:val="24"/>
          <w:szCs w:val="24"/>
        </w:rPr>
        <w:t xml:space="preserve"> </w:t>
      </w:r>
      <w:r w:rsidR="00B56474" w:rsidRPr="008E6084">
        <w:rPr>
          <w:rFonts w:ascii="Century Schoolbook" w:hAnsi="Century Schoolbook" w:cstheme="majorBidi"/>
          <w:sz w:val="24"/>
          <w:szCs w:val="24"/>
        </w:rPr>
        <w:t>The widespread use of genetics in precision medicine is facilitated by the availability of technologies that allow sequencing of the entire genome at a cost that is now affordable by many.</w:t>
      </w:r>
    </w:p>
    <w:p w14:paraId="731F1496" w14:textId="1CD52980" w:rsidR="00521964" w:rsidRPr="008E6084" w:rsidRDefault="00CE2F0F"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T</w:t>
      </w:r>
      <w:r w:rsidR="00521964" w:rsidRPr="008E6084">
        <w:rPr>
          <w:rFonts w:ascii="Century Schoolbook" w:hAnsi="Century Schoolbook" w:cstheme="majorBidi"/>
          <w:sz w:val="24"/>
          <w:szCs w:val="24"/>
        </w:rPr>
        <w:t xml:space="preserve">o develop clinically </w:t>
      </w:r>
      <w:r w:rsidR="003E4EAC" w:rsidRPr="008E6084">
        <w:rPr>
          <w:rFonts w:ascii="Century Schoolbook" w:hAnsi="Century Schoolbook" w:cstheme="majorBidi"/>
          <w:sz w:val="24"/>
          <w:szCs w:val="24"/>
        </w:rPr>
        <w:t xml:space="preserve">valid and useful </w:t>
      </w:r>
      <w:r w:rsidR="00521964" w:rsidRPr="008E6084">
        <w:rPr>
          <w:rFonts w:ascii="Century Schoolbook" w:hAnsi="Century Schoolbook" w:cstheme="majorBidi"/>
          <w:sz w:val="24"/>
          <w:szCs w:val="24"/>
        </w:rPr>
        <w:t>innovations, researchers need access to a rich and voluminous amount of data</w:t>
      </w:r>
      <w:r w:rsidRPr="008E6084">
        <w:rPr>
          <w:rFonts w:ascii="Century Schoolbook" w:hAnsi="Century Schoolbook" w:cstheme="majorBidi"/>
          <w:sz w:val="24"/>
          <w:szCs w:val="24"/>
        </w:rPr>
        <w:t xml:space="preserve"> collected by </w:t>
      </w:r>
      <w:r w:rsidR="00521964" w:rsidRPr="008E6084">
        <w:rPr>
          <w:rFonts w:ascii="Century Schoolbook" w:hAnsi="Century Schoolbook" w:cstheme="majorBidi"/>
          <w:sz w:val="24"/>
          <w:szCs w:val="24"/>
        </w:rPr>
        <w:t>themselves or</w:t>
      </w:r>
      <w:r w:rsidR="00112B05" w:rsidRPr="008E6084">
        <w:rPr>
          <w:rFonts w:ascii="Century Schoolbook" w:hAnsi="Century Schoolbook" w:cstheme="majorBidi"/>
          <w:sz w:val="24"/>
          <w:szCs w:val="24"/>
        </w:rPr>
        <w:t xml:space="preserve"> from other sources. </w:t>
      </w:r>
      <w:r w:rsidRPr="008E6084">
        <w:rPr>
          <w:rFonts w:ascii="Century Schoolbook" w:hAnsi="Century Schoolbook" w:cstheme="majorBidi"/>
          <w:sz w:val="24"/>
          <w:szCs w:val="24"/>
        </w:rPr>
        <w:t>H</w:t>
      </w:r>
      <w:r w:rsidR="00112B05" w:rsidRPr="008E6084">
        <w:rPr>
          <w:rFonts w:ascii="Century Schoolbook" w:hAnsi="Century Schoolbook" w:cstheme="majorBidi"/>
          <w:sz w:val="24"/>
          <w:szCs w:val="24"/>
        </w:rPr>
        <w:t xml:space="preserve">uman tissue is in turn an important source of information, as genetic and other relevant data can be derived from it. This has prompted the proliferation of databanks and biobanks that seek to facilitate and promote precision medicine </w:t>
      </w:r>
      <w:r w:rsidR="00112B05" w:rsidRPr="008E6084">
        <w:rPr>
          <w:rFonts w:ascii="Century Schoolbook" w:hAnsi="Century Schoolbook" w:cstheme="majorBidi"/>
          <w:sz w:val="24"/>
          <w:szCs w:val="24"/>
        </w:rPr>
        <w:lastRenderedPageBreak/>
        <w:t xml:space="preserve">research by sharing information and </w:t>
      </w:r>
      <w:r w:rsidR="00FF792C" w:rsidRPr="008E6084">
        <w:rPr>
          <w:rFonts w:ascii="Century Schoolbook" w:hAnsi="Century Schoolbook" w:cstheme="majorBidi"/>
          <w:sz w:val="24"/>
          <w:szCs w:val="24"/>
        </w:rPr>
        <w:t>samples</w:t>
      </w:r>
      <w:r w:rsidR="00112B05" w:rsidRPr="008E6084">
        <w:rPr>
          <w:rFonts w:ascii="Century Schoolbook" w:hAnsi="Century Schoolbook" w:cstheme="majorBidi"/>
          <w:sz w:val="24"/>
          <w:szCs w:val="24"/>
        </w:rPr>
        <w:t>.</w:t>
      </w:r>
      <w:r w:rsidR="00CC6A27" w:rsidRPr="008E6084">
        <w:rPr>
          <w:rStyle w:val="FootnoteReference"/>
          <w:rFonts w:ascii="Century Schoolbook" w:hAnsi="Century Schoolbook" w:cstheme="majorBidi"/>
          <w:sz w:val="24"/>
          <w:szCs w:val="24"/>
        </w:rPr>
        <w:footnoteReference w:id="7"/>
      </w:r>
      <w:r w:rsidR="00112B05" w:rsidRPr="008E6084">
        <w:rPr>
          <w:rFonts w:ascii="Century Schoolbook" w:hAnsi="Century Schoolbook" w:cstheme="majorBidi"/>
          <w:sz w:val="24"/>
          <w:szCs w:val="24"/>
        </w:rPr>
        <w:t xml:space="preserve">  Justice in the creation and management of these databanks and biobanks will be one of the key focuses of this paper.</w:t>
      </w:r>
    </w:p>
    <w:p w14:paraId="22C3F388" w14:textId="4F76CD88" w:rsidR="00D15E11" w:rsidRPr="008E6084" w:rsidRDefault="00D15E11"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As for justice, we will not offer a single definition. Our purpose here is not to engage in political theorising. We are neutral on the theoretical relationship between </w:t>
      </w:r>
      <w:r w:rsidR="00A272A2" w:rsidRPr="008E6084">
        <w:rPr>
          <w:rFonts w:ascii="Century Schoolbook" w:hAnsi="Century Schoolbook" w:cstheme="majorBidi"/>
          <w:sz w:val="24"/>
          <w:szCs w:val="24"/>
        </w:rPr>
        <w:t xml:space="preserve">the three aspects we </w:t>
      </w:r>
      <w:proofErr w:type="gramStart"/>
      <w:r w:rsidR="00A272A2" w:rsidRPr="008E6084">
        <w:rPr>
          <w:rFonts w:ascii="Century Schoolbook" w:hAnsi="Century Schoolbook" w:cstheme="majorBidi"/>
          <w:sz w:val="24"/>
          <w:szCs w:val="24"/>
        </w:rPr>
        <w:t xml:space="preserve">identify  </w:t>
      </w:r>
      <w:r w:rsidRPr="008E6084">
        <w:rPr>
          <w:rFonts w:ascii="Century Schoolbook" w:hAnsi="Century Schoolbook" w:cstheme="majorBidi"/>
          <w:sz w:val="24"/>
          <w:szCs w:val="24"/>
        </w:rPr>
        <w:t>–</w:t>
      </w:r>
      <w:proofErr w:type="gramEnd"/>
      <w:r w:rsidRPr="008E6084">
        <w:rPr>
          <w:rFonts w:ascii="Century Schoolbook" w:hAnsi="Century Schoolbook" w:cstheme="majorBidi"/>
          <w:sz w:val="24"/>
          <w:szCs w:val="24"/>
        </w:rPr>
        <w:t xml:space="preserve"> for example, whether they are all </w:t>
      </w:r>
      <w:r w:rsidR="00E863FB" w:rsidRPr="008E6084">
        <w:rPr>
          <w:rFonts w:ascii="Century Schoolbook" w:hAnsi="Century Schoolbook" w:cstheme="majorBidi"/>
          <w:sz w:val="24"/>
          <w:szCs w:val="24"/>
        </w:rPr>
        <w:t xml:space="preserve">components </w:t>
      </w:r>
      <w:r w:rsidRPr="008E6084">
        <w:rPr>
          <w:rFonts w:ascii="Century Schoolbook" w:hAnsi="Century Schoolbook" w:cstheme="majorBidi"/>
          <w:sz w:val="24"/>
          <w:szCs w:val="24"/>
        </w:rPr>
        <w:t xml:space="preserve">of a unified central concept, or </w:t>
      </w:r>
      <w:r w:rsidR="00CC32DE" w:rsidRPr="008E6084">
        <w:rPr>
          <w:rFonts w:ascii="Century Schoolbook" w:hAnsi="Century Schoolbook" w:cstheme="majorBidi"/>
          <w:sz w:val="24"/>
          <w:szCs w:val="24"/>
        </w:rPr>
        <w:t xml:space="preserve">rather </w:t>
      </w:r>
      <w:r w:rsidRPr="008E6084">
        <w:rPr>
          <w:rFonts w:ascii="Century Schoolbook" w:hAnsi="Century Schoolbook" w:cstheme="majorBidi"/>
          <w:sz w:val="24"/>
          <w:szCs w:val="24"/>
        </w:rPr>
        <w:t>each ha</w:t>
      </w:r>
      <w:r w:rsidR="00CC32DE" w:rsidRPr="008E6084">
        <w:rPr>
          <w:rFonts w:ascii="Century Schoolbook" w:hAnsi="Century Schoolbook" w:cstheme="majorBidi"/>
          <w:sz w:val="24"/>
          <w:szCs w:val="24"/>
        </w:rPr>
        <w:t xml:space="preserve">s </w:t>
      </w:r>
      <w:r w:rsidRPr="008E6084">
        <w:rPr>
          <w:rFonts w:ascii="Century Schoolbook" w:hAnsi="Century Schoolbook" w:cstheme="majorBidi"/>
          <w:sz w:val="24"/>
          <w:szCs w:val="24"/>
        </w:rPr>
        <w:t xml:space="preserve">distinct normative groundings. Instead, we will focus on how these three </w:t>
      </w:r>
      <w:r w:rsidR="00A272A2" w:rsidRPr="008E6084">
        <w:rPr>
          <w:rFonts w:ascii="Century Schoolbook" w:hAnsi="Century Schoolbook" w:cstheme="majorBidi"/>
          <w:sz w:val="24"/>
          <w:szCs w:val="24"/>
        </w:rPr>
        <w:t xml:space="preserve">aspects </w:t>
      </w:r>
      <w:r w:rsidRPr="008E6084">
        <w:rPr>
          <w:rFonts w:ascii="Century Schoolbook" w:hAnsi="Century Schoolbook" w:cstheme="majorBidi"/>
          <w:sz w:val="24"/>
          <w:szCs w:val="24"/>
        </w:rPr>
        <w:t>apply in the context of precision medicine, and the relationships between them.</w:t>
      </w:r>
      <w:r w:rsidR="003E4EAC" w:rsidRPr="008E6084">
        <w:rPr>
          <w:rFonts w:ascii="Century Schoolbook" w:hAnsi="Century Schoolbook" w:cstheme="majorBidi"/>
          <w:sz w:val="24"/>
          <w:szCs w:val="24"/>
        </w:rPr>
        <w:t xml:space="preserve"> These were selected based on their prominence in the literature on precision medicine, and the interesting intersections between them</w:t>
      </w:r>
      <w:r w:rsidR="00CC32DE" w:rsidRPr="008E6084">
        <w:rPr>
          <w:rFonts w:ascii="Century Schoolbook" w:hAnsi="Century Schoolbook" w:cstheme="majorBidi"/>
          <w:sz w:val="24"/>
          <w:szCs w:val="24"/>
        </w:rPr>
        <w:t xml:space="preserve"> which have relevant implications</w:t>
      </w:r>
      <w:r w:rsidR="003E4EAC" w:rsidRPr="008E6084">
        <w:rPr>
          <w:rFonts w:ascii="Century Schoolbook" w:hAnsi="Century Schoolbook" w:cstheme="majorBidi"/>
          <w:sz w:val="24"/>
          <w:szCs w:val="24"/>
        </w:rPr>
        <w:t>.</w:t>
      </w:r>
    </w:p>
    <w:p w14:paraId="4D27A70C" w14:textId="7450A69D" w:rsidR="001A5FB4" w:rsidRPr="008E6084" w:rsidRDefault="001A5FB4"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The first </w:t>
      </w:r>
      <w:r w:rsidR="00A272A2" w:rsidRPr="008E6084">
        <w:rPr>
          <w:rFonts w:ascii="Century Schoolbook" w:hAnsi="Century Schoolbook" w:cstheme="majorBidi"/>
          <w:sz w:val="24"/>
          <w:szCs w:val="24"/>
        </w:rPr>
        <w:t xml:space="preserve">aspect </w:t>
      </w:r>
      <w:r w:rsidRPr="008E6084">
        <w:rPr>
          <w:rFonts w:ascii="Century Schoolbook" w:hAnsi="Century Schoolbook" w:cstheme="majorBidi"/>
          <w:sz w:val="24"/>
          <w:szCs w:val="24"/>
        </w:rPr>
        <w:t xml:space="preserve">of justice to be explored below is </w:t>
      </w:r>
      <w:r w:rsidRPr="008E6084">
        <w:rPr>
          <w:rFonts w:ascii="Century Schoolbook" w:hAnsi="Century Schoolbook" w:cstheme="majorBidi"/>
          <w:i/>
          <w:sz w:val="24"/>
          <w:szCs w:val="24"/>
        </w:rPr>
        <w:t>social justice</w:t>
      </w:r>
      <w:r w:rsidRPr="008E6084">
        <w:rPr>
          <w:rFonts w:ascii="Century Schoolbook" w:hAnsi="Century Schoolbook" w:cstheme="majorBidi"/>
          <w:sz w:val="24"/>
          <w:szCs w:val="24"/>
        </w:rPr>
        <w:t xml:space="preserve">. </w:t>
      </w:r>
      <w:r w:rsidR="00260070" w:rsidRPr="008E6084">
        <w:rPr>
          <w:rFonts w:ascii="Century Schoolbook" w:hAnsi="Century Schoolbook" w:cstheme="majorBidi"/>
          <w:sz w:val="24"/>
          <w:szCs w:val="24"/>
        </w:rPr>
        <w:t>S</w:t>
      </w:r>
      <w:r w:rsidRPr="008E6084">
        <w:rPr>
          <w:rFonts w:ascii="Century Schoolbook" w:hAnsi="Century Schoolbook" w:cstheme="majorBidi"/>
          <w:sz w:val="24"/>
          <w:szCs w:val="24"/>
        </w:rPr>
        <w:t>ocial justice has an admirable history, represented by movements of suffrage, emancipation and civil rights that have propelled society forward – even if we are far from the realization of its ideals.</w:t>
      </w:r>
      <w:r w:rsidR="00D15E11" w:rsidRPr="008E6084">
        <w:rPr>
          <w:rStyle w:val="FootnoteReference"/>
          <w:rFonts w:ascii="Century Schoolbook" w:hAnsi="Century Schoolbook" w:cstheme="majorBidi"/>
          <w:sz w:val="24"/>
          <w:szCs w:val="24"/>
        </w:rPr>
        <w:footnoteReference w:id="8"/>
      </w:r>
      <w:r w:rsidRPr="008E6084">
        <w:rPr>
          <w:rFonts w:ascii="Century Schoolbook" w:hAnsi="Century Schoolbook" w:cstheme="majorBidi"/>
          <w:sz w:val="24"/>
          <w:szCs w:val="24"/>
        </w:rPr>
        <w:t xml:space="preserve"> For present purposes, we will understand social justice to consist in attaining (or coming closer to) equal dignity and respect for all within society</w:t>
      </w:r>
      <w:r w:rsidR="00316242" w:rsidRPr="008E6084">
        <w:rPr>
          <w:rFonts w:ascii="Century Schoolbook" w:hAnsi="Century Schoolbook" w:cstheme="majorBidi"/>
          <w:sz w:val="24"/>
          <w:szCs w:val="24"/>
        </w:rPr>
        <w:t>. Dignity and respect in turn refer to a wide array of considerations, including but not limited to formal legal equality, non-discrimination, social standing and integration.</w:t>
      </w:r>
      <w:r w:rsidR="00DF2C0B" w:rsidRPr="008E6084">
        <w:rPr>
          <w:rStyle w:val="FootnoteReference"/>
          <w:rFonts w:ascii="Century Schoolbook" w:hAnsi="Century Schoolbook" w:cstheme="majorBidi"/>
          <w:sz w:val="24"/>
          <w:szCs w:val="24"/>
        </w:rPr>
        <w:footnoteReference w:id="9"/>
      </w:r>
    </w:p>
    <w:p w14:paraId="79E73597" w14:textId="20DC5EF2" w:rsidR="00316242" w:rsidRPr="008E6084" w:rsidRDefault="00316242"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While social justice is concerned with dignity and respect, </w:t>
      </w:r>
      <w:r w:rsidRPr="008E6084">
        <w:rPr>
          <w:rFonts w:ascii="Century Schoolbook" w:hAnsi="Century Schoolbook" w:cstheme="majorBidi"/>
          <w:i/>
          <w:sz w:val="24"/>
          <w:szCs w:val="24"/>
        </w:rPr>
        <w:t>distributive justice</w:t>
      </w:r>
      <w:r w:rsidRPr="008E6084">
        <w:rPr>
          <w:rFonts w:ascii="Century Schoolbook" w:hAnsi="Century Schoolbook" w:cstheme="majorBidi"/>
          <w:sz w:val="24"/>
          <w:szCs w:val="24"/>
        </w:rPr>
        <w:t xml:space="preserve"> is concerned with the fair distribution of goods among people. This may encompass material, transferrable goods (such as money or medicines), as well as aspects of people’s well-being (such as health and happiness), or ability to access those goods/attain levels of well-being.</w:t>
      </w:r>
      <w:r w:rsidR="00E4078D" w:rsidRPr="008E6084">
        <w:rPr>
          <w:rStyle w:val="FootnoteReference"/>
          <w:rFonts w:ascii="Century Schoolbook" w:hAnsi="Century Schoolbook" w:cstheme="majorBidi"/>
          <w:sz w:val="24"/>
          <w:szCs w:val="24"/>
        </w:rPr>
        <w:footnoteReference w:id="10"/>
      </w:r>
      <w:r w:rsidRPr="008E6084">
        <w:rPr>
          <w:rFonts w:ascii="Century Schoolbook" w:hAnsi="Century Schoolbook" w:cstheme="majorBidi"/>
          <w:sz w:val="24"/>
          <w:szCs w:val="24"/>
        </w:rPr>
        <w:t xml:space="preserve"> </w:t>
      </w:r>
      <w:r w:rsidR="00FC469B" w:rsidRPr="008E6084">
        <w:rPr>
          <w:rFonts w:ascii="Century Schoolbook" w:hAnsi="Century Schoolbook" w:cstheme="majorBidi"/>
          <w:sz w:val="24"/>
          <w:szCs w:val="24"/>
        </w:rPr>
        <w:t>Here, we will focus on non-economic aspects of distributive goods, specifically, the distribution of the fruits of precision medicine research</w:t>
      </w:r>
      <w:r w:rsidR="00E06919" w:rsidRPr="008E6084">
        <w:rPr>
          <w:rFonts w:ascii="Century Schoolbook" w:hAnsi="Century Schoolbook" w:cstheme="majorBidi"/>
          <w:sz w:val="24"/>
          <w:szCs w:val="24"/>
        </w:rPr>
        <w:t xml:space="preserve"> to ethnically and racially diverse populations</w:t>
      </w:r>
      <w:r w:rsidR="00B56474" w:rsidRPr="008E6084">
        <w:rPr>
          <w:rFonts w:ascii="Century Schoolbook" w:hAnsi="Century Schoolbook" w:cstheme="majorBidi"/>
          <w:sz w:val="24"/>
          <w:szCs w:val="24"/>
        </w:rPr>
        <w:t xml:space="preserve"> that have, in different ways, contributed to their discovery and development</w:t>
      </w:r>
      <w:r w:rsidRPr="008E6084">
        <w:rPr>
          <w:rFonts w:ascii="Century Schoolbook" w:hAnsi="Century Schoolbook" w:cstheme="majorBidi"/>
          <w:sz w:val="24"/>
          <w:szCs w:val="24"/>
        </w:rPr>
        <w:t>.</w:t>
      </w:r>
    </w:p>
    <w:p w14:paraId="6B84F5E3" w14:textId="0C769F95" w:rsidR="00316242" w:rsidRPr="008E6084" w:rsidRDefault="00316242"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Many violations of distributive or social justice would also seem to be in contravention </w:t>
      </w:r>
      <w:r w:rsidR="00E4078D" w:rsidRPr="008E6084">
        <w:rPr>
          <w:rFonts w:ascii="Century Schoolbook" w:hAnsi="Century Schoolbook" w:cstheme="majorBidi"/>
          <w:sz w:val="24"/>
          <w:szCs w:val="24"/>
        </w:rPr>
        <w:t>of</w:t>
      </w:r>
      <w:r w:rsidRPr="008E6084">
        <w:rPr>
          <w:rFonts w:ascii="Century Schoolbook" w:hAnsi="Century Schoolbook" w:cstheme="majorBidi"/>
          <w:i/>
          <w:sz w:val="24"/>
          <w:szCs w:val="24"/>
        </w:rPr>
        <w:t xml:space="preserve"> human rights</w:t>
      </w:r>
      <w:r w:rsidRPr="008E6084">
        <w:rPr>
          <w:rFonts w:ascii="Century Schoolbook" w:hAnsi="Century Schoolbook" w:cstheme="majorBidi"/>
          <w:sz w:val="24"/>
          <w:szCs w:val="24"/>
        </w:rPr>
        <w:t xml:space="preserve">. We can, after all, posit human rights to equal dignity, or a fair share of social resources. </w:t>
      </w:r>
      <w:r w:rsidR="00444109" w:rsidRPr="008E6084">
        <w:rPr>
          <w:rFonts w:ascii="Century Schoolbook" w:hAnsi="Century Schoolbook" w:cstheme="majorBidi"/>
          <w:sz w:val="24"/>
          <w:szCs w:val="24"/>
        </w:rPr>
        <w:t xml:space="preserve">What sets human rights apart is less their substantive content (almost anything of value can be cast in terms of a human right), and more how they are framed and grounded. Human rights are things owed to us not in virtue of particular actions, abilities, relationships or </w:t>
      </w:r>
      <w:r w:rsidR="00444109" w:rsidRPr="008E6084">
        <w:rPr>
          <w:rFonts w:ascii="Century Schoolbook" w:hAnsi="Century Schoolbook" w:cstheme="majorBidi"/>
          <w:sz w:val="24"/>
          <w:szCs w:val="24"/>
        </w:rPr>
        <w:lastRenderedPageBreak/>
        <w:t xml:space="preserve">group membership (including nationality), but purely </w:t>
      </w:r>
      <w:r w:rsidR="00311A2E" w:rsidRPr="008E6084">
        <w:rPr>
          <w:rFonts w:ascii="Century Schoolbook" w:hAnsi="Century Schoolbook" w:cstheme="majorBidi"/>
          <w:sz w:val="24"/>
          <w:szCs w:val="24"/>
        </w:rPr>
        <w:t xml:space="preserve">based on </w:t>
      </w:r>
      <w:r w:rsidR="00444109" w:rsidRPr="008E6084">
        <w:rPr>
          <w:rFonts w:ascii="Century Schoolbook" w:hAnsi="Century Schoolbook" w:cstheme="majorBidi"/>
          <w:sz w:val="24"/>
          <w:szCs w:val="24"/>
        </w:rPr>
        <w:t>the fact that we are human.</w:t>
      </w:r>
      <w:r w:rsidR="005B75E0" w:rsidRPr="008E6084">
        <w:rPr>
          <w:rStyle w:val="FootnoteReference"/>
          <w:rFonts w:ascii="Century Schoolbook" w:hAnsi="Century Schoolbook" w:cstheme="majorBidi"/>
          <w:sz w:val="24"/>
          <w:szCs w:val="24"/>
        </w:rPr>
        <w:footnoteReference w:id="11"/>
      </w:r>
      <w:r w:rsidR="00F40E11" w:rsidRPr="008E6084">
        <w:rPr>
          <w:rFonts w:ascii="Century Schoolbook" w:hAnsi="Century Schoolbook" w:cstheme="majorBidi"/>
          <w:sz w:val="24"/>
          <w:szCs w:val="24"/>
        </w:rPr>
        <w:t xml:space="preserve"> Here, we will examine in particular one human right that has increasingly become part of the discourse on precision medicine: the right to benefit from the fruits of scientific research.</w:t>
      </w:r>
    </w:p>
    <w:p w14:paraId="57819B82" w14:textId="02BF94D5" w:rsidR="00924EAD" w:rsidRPr="008E6084" w:rsidRDefault="00924EAD"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Each section below will further elaborate, within the scope of those aspects of justice, </w:t>
      </w:r>
      <w:proofErr w:type="gramStart"/>
      <w:r w:rsidRPr="008E6084">
        <w:rPr>
          <w:rFonts w:ascii="Century Schoolbook" w:hAnsi="Century Schoolbook" w:cstheme="majorBidi"/>
          <w:sz w:val="24"/>
          <w:szCs w:val="24"/>
        </w:rPr>
        <w:t>particular applications</w:t>
      </w:r>
      <w:proofErr w:type="gramEnd"/>
      <w:r w:rsidRPr="008E6084">
        <w:rPr>
          <w:rFonts w:ascii="Century Schoolbook" w:hAnsi="Century Schoolbook" w:cstheme="majorBidi"/>
          <w:sz w:val="24"/>
          <w:szCs w:val="24"/>
        </w:rPr>
        <w:t xml:space="preserve"> in the context of precision medicine</w:t>
      </w:r>
      <w:r w:rsidR="00E06919" w:rsidRPr="008E6084">
        <w:rPr>
          <w:rFonts w:ascii="Century Schoolbook" w:hAnsi="Century Schoolbook" w:cstheme="majorBidi"/>
          <w:sz w:val="24"/>
          <w:szCs w:val="24"/>
        </w:rPr>
        <w:t>, race and ethnicity</w:t>
      </w:r>
      <w:r w:rsidRPr="008E6084">
        <w:rPr>
          <w:rFonts w:ascii="Century Schoolbook" w:hAnsi="Century Schoolbook" w:cstheme="majorBidi"/>
          <w:sz w:val="24"/>
          <w:szCs w:val="24"/>
        </w:rPr>
        <w:t>.</w:t>
      </w:r>
    </w:p>
    <w:p w14:paraId="469198D3" w14:textId="77777777" w:rsidR="005C62C8" w:rsidRPr="008E6084" w:rsidRDefault="005C62C8" w:rsidP="006A3C89">
      <w:pPr>
        <w:spacing w:line="276" w:lineRule="auto"/>
        <w:jc w:val="both"/>
        <w:rPr>
          <w:rFonts w:ascii="Century Schoolbook" w:hAnsi="Century Schoolbook" w:cstheme="majorBidi"/>
          <w:sz w:val="24"/>
          <w:szCs w:val="24"/>
        </w:rPr>
      </w:pPr>
    </w:p>
    <w:p w14:paraId="5A84D2B6" w14:textId="77C42076" w:rsidR="007314B3" w:rsidRPr="008E6084" w:rsidRDefault="007314B3" w:rsidP="006A3C89">
      <w:pPr>
        <w:pStyle w:val="ListParagraph"/>
        <w:numPr>
          <w:ilvl w:val="0"/>
          <w:numId w:val="2"/>
        </w:num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Social justice</w:t>
      </w:r>
    </w:p>
    <w:p w14:paraId="25C7DBC2" w14:textId="1E91BCB8" w:rsidR="007314B3" w:rsidRPr="008E6084" w:rsidRDefault="003E0B36"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An abiding concern for decades is the fraught issue of the use of race and ethnicity in biomedical science.</w:t>
      </w:r>
      <w:r w:rsidR="002533AD" w:rsidRPr="008E6084">
        <w:rPr>
          <w:rStyle w:val="FootnoteReference"/>
          <w:rFonts w:ascii="Century Schoolbook" w:hAnsi="Century Schoolbook" w:cstheme="majorBidi"/>
          <w:sz w:val="24"/>
          <w:szCs w:val="24"/>
        </w:rPr>
        <w:footnoteReference w:id="12"/>
      </w:r>
      <w:r w:rsidRPr="008E6084">
        <w:rPr>
          <w:rFonts w:ascii="Century Schoolbook" w:hAnsi="Century Schoolbook" w:cstheme="majorBidi"/>
          <w:sz w:val="24"/>
          <w:szCs w:val="24"/>
        </w:rPr>
        <w:t xml:space="preserve"> This has taken on newfound importance in the era of precision medicine, where the notion of ‘targeted therapies’ has raised the spectre of racialized medicine, and reliance on genetic data may slip into reification of race or ethnicity as biologically based.</w:t>
      </w:r>
      <w:r w:rsidR="002533AD" w:rsidRPr="008E6084">
        <w:rPr>
          <w:rStyle w:val="FootnoteReference"/>
          <w:rFonts w:ascii="Century Schoolbook" w:hAnsi="Century Schoolbook" w:cstheme="majorBidi"/>
          <w:sz w:val="24"/>
          <w:szCs w:val="24"/>
        </w:rPr>
        <w:footnoteReference w:id="13"/>
      </w:r>
      <w:r w:rsidRPr="008E6084">
        <w:rPr>
          <w:rFonts w:ascii="Century Schoolbook" w:hAnsi="Century Schoolbook" w:cstheme="majorBidi"/>
          <w:sz w:val="24"/>
          <w:szCs w:val="24"/>
        </w:rPr>
        <w:t xml:space="preserve"> This </w:t>
      </w:r>
      <w:r w:rsidR="005E25AD" w:rsidRPr="008E6084">
        <w:rPr>
          <w:rFonts w:ascii="Century Schoolbook" w:hAnsi="Century Schoolbook" w:cstheme="majorBidi"/>
          <w:sz w:val="24"/>
          <w:szCs w:val="24"/>
        </w:rPr>
        <w:t xml:space="preserve">debate </w:t>
      </w:r>
      <w:r w:rsidRPr="008E6084">
        <w:rPr>
          <w:rFonts w:ascii="Century Schoolbook" w:hAnsi="Century Schoolbook" w:cstheme="majorBidi"/>
          <w:sz w:val="24"/>
          <w:szCs w:val="24"/>
        </w:rPr>
        <w:t>is also reflected by the views</w:t>
      </w:r>
      <w:r w:rsidR="001C0DE0" w:rsidRPr="008E6084">
        <w:rPr>
          <w:rFonts w:ascii="Century Schoolbook" w:hAnsi="Century Schoolbook" w:cstheme="majorBidi"/>
          <w:sz w:val="24"/>
          <w:szCs w:val="24"/>
        </w:rPr>
        <w:t xml:space="preserve"> of the</w:t>
      </w:r>
      <w:r w:rsidRPr="008E6084">
        <w:rPr>
          <w:rFonts w:ascii="Century Schoolbook" w:hAnsi="Century Schoolbook" w:cstheme="majorBidi"/>
          <w:sz w:val="24"/>
          <w:szCs w:val="24"/>
        </w:rPr>
        <w:t xml:space="preserve"> authors of this piece, who have differing perspectives on the extent to which race/ethnicity should be relied upon in precision medicine research. Here, we summarise the </w:t>
      </w:r>
      <w:r w:rsidR="006F5D78" w:rsidRPr="008E6084">
        <w:rPr>
          <w:rFonts w:ascii="Century Schoolbook" w:hAnsi="Century Schoolbook" w:cstheme="majorBidi"/>
          <w:sz w:val="24"/>
          <w:szCs w:val="24"/>
        </w:rPr>
        <w:t>nature of the concerns on each side, with a view to highlighting the problems of social justice that must be addressed, even if the solutions may not be agreed upon.</w:t>
      </w:r>
    </w:p>
    <w:p w14:paraId="7229EE7E" w14:textId="5EB8540B" w:rsidR="009C2BEA" w:rsidRPr="008E6084" w:rsidRDefault="00A77209"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t>The problems of using race &amp; ethnicity in genomics research</w:t>
      </w:r>
    </w:p>
    <w:p w14:paraId="32B3B641" w14:textId="5514C055" w:rsidR="003919BB" w:rsidRPr="008E6084" w:rsidRDefault="009C2BEA" w:rsidP="006A3C89">
      <w:pPr>
        <w:spacing w:line="276" w:lineRule="auto"/>
        <w:rPr>
          <w:rFonts w:ascii="Century Schoolbook" w:hAnsi="Century Schoolbook" w:cstheme="majorBidi"/>
          <w:sz w:val="24"/>
          <w:szCs w:val="24"/>
        </w:rPr>
      </w:pPr>
      <w:r w:rsidRPr="008E6084">
        <w:rPr>
          <w:rFonts w:ascii="Century Schoolbook" w:hAnsi="Century Schoolbook" w:cstheme="majorBidi"/>
          <w:sz w:val="24"/>
          <w:szCs w:val="24"/>
        </w:rPr>
        <w:t>Genetically speaking, approximately 85% of all human genetic variation is found within any human population or group</w:t>
      </w:r>
      <w:r w:rsidR="0069009F" w:rsidRPr="008E6084">
        <w:rPr>
          <w:rFonts w:ascii="Century Schoolbook" w:hAnsi="Century Schoolbook" w:cstheme="majorBidi"/>
          <w:sz w:val="24"/>
          <w:szCs w:val="24"/>
        </w:rPr>
        <w:t>.</w:t>
      </w:r>
      <w:r w:rsidRPr="008E6084">
        <w:rPr>
          <w:rFonts w:ascii="Century Schoolbook" w:hAnsi="Century Schoolbook" w:cstheme="majorBidi"/>
          <w:sz w:val="24"/>
          <w:szCs w:val="24"/>
        </w:rPr>
        <w:t xml:space="preserve"> </w:t>
      </w:r>
      <w:r w:rsidR="0069009F" w:rsidRPr="008E6084">
        <w:rPr>
          <w:rFonts w:ascii="Century Schoolbook" w:hAnsi="Century Schoolbook" w:cstheme="majorBidi"/>
          <w:sz w:val="24"/>
          <w:szCs w:val="24"/>
        </w:rPr>
        <w:t>T</w:t>
      </w:r>
      <w:r w:rsidRPr="008E6084">
        <w:rPr>
          <w:rFonts w:ascii="Century Schoolbook" w:hAnsi="Century Schoolbook" w:cstheme="majorBidi"/>
          <w:sz w:val="24"/>
          <w:szCs w:val="24"/>
        </w:rPr>
        <w:t xml:space="preserve">he vast majority of human genetic variation does not distinguish between groups, even when the groups being compared are composed by </w:t>
      </w:r>
      <w:r w:rsidR="00A272A2" w:rsidRPr="008E6084">
        <w:rPr>
          <w:rFonts w:ascii="Century Schoolbook" w:hAnsi="Century Schoolbook" w:cstheme="majorBidi"/>
          <w:sz w:val="24"/>
          <w:szCs w:val="24"/>
        </w:rPr>
        <w:t xml:space="preserve">self-identified </w:t>
      </w:r>
      <w:r w:rsidRPr="008E6084">
        <w:rPr>
          <w:rFonts w:ascii="Century Schoolbook" w:hAnsi="Century Schoolbook" w:cstheme="majorBidi"/>
          <w:sz w:val="24"/>
          <w:szCs w:val="24"/>
        </w:rPr>
        <w:t>race and ethnicity</w:t>
      </w:r>
      <w:r w:rsidR="00CA2D8C" w:rsidRPr="008E6084">
        <w:rPr>
          <w:rFonts w:ascii="Century Schoolbook" w:hAnsi="Century Schoolbook" w:cstheme="majorBidi"/>
          <w:sz w:val="24"/>
          <w:szCs w:val="24"/>
        </w:rPr>
        <w:t xml:space="preserve"> (</w:t>
      </w:r>
      <w:r w:rsidR="000C4A6A" w:rsidRPr="008E6084">
        <w:rPr>
          <w:rFonts w:ascii="Century Schoolbook" w:hAnsi="Century Schoolbook" w:cstheme="majorBidi"/>
          <w:sz w:val="24"/>
          <w:szCs w:val="24"/>
        </w:rPr>
        <w:t>both understood as</w:t>
      </w:r>
      <w:r w:rsidR="00CA2D8C" w:rsidRPr="008E6084">
        <w:rPr>
          <w:rFonts w:ascii="Century Schoolbook" w:hAnsi="Century Schoolbook" w:cstheme="majorBidi"/>
          <w:sz w:val="24"/>
          <w:szCs w:val="24"/>
        </w:rPr>
        <w:t xml:space="preserve"> social construct</w:t>
      </w:r>
      <w:r w:rsidR="000C4A6A" w:rsidRPr="008E6084">
        <w:rPr>
          <w:rFonts w:ascii="Century Schoolbook" w:hAnsi="Century Schoolbook" w:cstheme="majorBidi"/>
          <w:sz w:val="24"/>
          <w:szCs w:val="24"/>
        </w:rPr>
        <w:t>s</w:t>
      </w:r>
      <w:r w:rsidR="00CA2D8C" w:rsidRPr="008E6084">
        <w:rPr>
          <w:rFonts w:ascii="Century Schoolbook" w:hAnsi="Century Schoolbook" w:cstheme="majorBidi"/>
          <w:sz w:val="24"/>
          <w:szCs w:val="24"/>
        </w:rPr>
        <w:t xml:space="preserve"> </w:t>
      </w:r>
      <w:r w:rsidR="000C4A6A" w:rsidRPr="008E6084">
        <w:rPr>
          <w:rFonts w:ascii="Century Schoolbook" w:hAnsi="Century Schoolbook" w:cstheme="majorBidi"/>
          <w:sz w:val="24"/>
          <w:szCs w:val="24"/>
        </w:rPr>
        <w:t>used</w:t>
      </w:r>
      <w:r w:rsidR="00CA2D8C" w:rsidRPr="008E6084">
        <w:rPr>
          <w:rFonts w:ascii="Century Schoolbook" w:hAnsi="Century Schoolbook" w:cstheme="majorBidi"/>
          <w:sz w:val="24"/>
          <w:szCs w:val="24"/>
        </w:rPr>
        <w:t xml:space="preserve"> identif</w:t>
      </w:r>
      <w:r w:rsidR="000C4A6A" w:rsidRPr="008E6084">
        <w:rPr>
          <w:rFonts w:ascii="Century Schoolbook" w:hAnsi="Century Schoolbook" w:cstheme="majorBidi"/>
          <w:sz w:val="24"/>
          <w:szCs w:val="24"/>
        </w:rPr>
        <w:t>y</w:t>
      </w:r>
      <w:r w:rsidR="00CA2D8C" w:rsidRPr="008E6084">
        <w:rPr>
          <w:rFonts w:ascii="Century Schoolbook" w:hAnsi="Century Schoolbook" w:cstheme="majorBidi"/>
          <w:sz w:val="24"/>
          <w:szCs w:val="24"/>
        </w:rPr>
        <w:t xml:space="preserve"> subgroups of individuals</w:t>
      </w:r>
      <w:r w:rsidR="000C4A6A" w:rsidRPr="008E6084">
        <w:rPr>
          <w:rFonts w:ascii="Century Schoolbook" w:hAnsi="Century Schoolbook" w:cstheme="majorBidi"/>
          <w:sz w:val="24"/>
          <w:szCs w:val="24"/>
        </w:rPr>
        <w:t xml:space="preserve">, with race often being associated with perceived shared features, and ethnicity </w:t>
      </w:r>
      <w:r w:rsidR="00CA2D8C" w:rsidRPr="008E6084">
        <w:rPr>
          <w:rFonts w:ascii="Century Schoolbook" w:hAnsi="Century Schoolbook" w:cstheme="majorBidi"/>
          <w:sz w:val="24"/>
          <w:szCs w:val="24"/>
        </w:rPr>
        <w:t xml:space="preserve"> </w:t>
      </w:r>
      <w:r w:rsidR="000C4A6A" w:rsidRPr="008E6084">
        <w:rPr>
          <w:rFonts w:ascii="Century Schoolbook" w:hAnsi="Century Schoolbook" w:cstheme="majorBidi"/>
          <w:sz w:val="24"/>
          <w:szCs w:val="24"/>
        </w:rPr>
        <w:t xml:space="preserve">associated with </w:t>
      </w:r>
      <w:r w:rsidR="00CA2D8C" w:rsidRPr="008E6084">
        <w:rPr>
          <w:rFonts w:ascii="Century Schoolbook" w:hAnsi="Century Schoolbook" w:cstheme="majorBidi"/>
          <w:sz w:val="24"/>
          <w:szCs w:val="24"/>
        </w:rPr>
        <w:t>common culture</w:t>
      </w:r>
      <w:r w:rsidR="000C4A6A" w:rsidRPr="008E6084">
        <w:rPr>
          <w:rFonts w:ascii="Century Schoolbook" w:hAnsi="Century Schoolbook" w:cstheme="majorBidi"/>
          <w:sz w:val="24"/>
          <w:szCs w:val="24"/>
        </w:rPr>
        <w:t>,</w:t>
      </w:r>
      <w:r w:rsidR="00CA2D8C" w:rsidRPr="008E6084">
        <w:rPr>
          <w:rFonts w:ascii="Century Schoolbook" w:hAnsi="Century Schoolbook" w:cstheme="majorBidi"/>
          <w:sz w:val="24"/>
          <w:szCs w:val="24"/>
        </w:rPr>
        <w:t xml:space="preserve"> language</w:t>
      </w:r>
      <w:r w:rsidR="000C4A6A" w:rsidRPr="008E6084">
        <w:rPr>
          <w:rFonts w:ascii="Century Schoolbook" w:hAnsi="Century Schoolbook" w:cstheme="majorBidi"/>
          <w:sz w:val="24"/>
          <w:szCs w:val="24"/>
        </w:rPr>
        <w:t xml:space="preserve"> and history).</w:t>
      </w:r>
      <w:r w:rsidR="000C4A6A" w:rsidRPr="008E6084">
        <w:rPr>
          <w:rStyle w:val="FootnoteReference"/>
          <w:rFonts w:ascii="Century Schoolbook" w:hAnsi="Century Schoolbook" w:cstheme="majorBidi"/>
          <w:sz w:val="24"/>
          <w:szCs w:val="24"/>
        </w:rPr>
        <w:footnoteReference w:id="14"/>
      </w:r>
      <w:r w:rsidRPr="008E6084">
        <w:rPr>
          <w:rFonts w:ascii="Century Schoolbook" w:hAnsi="Century Schoolbook" w:cstheme="majorBidi"/>
          <w:sz w:val="24"/>
          <w:szCs w:val="24"/>
        </w:rPr>
        <w:t xml:space="preserve"> </w:t>
      </w:r>
      <w:r w:rsidR="00CA2D8C" w:rsidRPr="008E6084">
        <w:rPr>
          <w:rFonts w:ascii="Century Schoolbook" w:hAnsi="Century Schoolbook" w:cstheme="majorBidi"/>
          <w:sz w:val="24"/>
          <w:szCs w:val="24"/>
        </w:rPr>
        <w:t xml:space="preserve">Nor is there great variation based on </w:t>
      </w:r>
      <w:r w:rsidR="00CA2D8C" w:rsidRPr="008E6084">
        <w:rPr>
          <w:rFonts w:ascii="Century Schoolbook" w:hAnsi="Century Schoolbook" w:cstheme="majorBidi"/>
          <w:sz w:val="24"/>
          <w:szCs w:val="24"/>
        </w:rPr>
        <w:lastRenderedPageBreak/>
        <w:t>geographic origins, sometimes used as substitute for race and ethnicity.</w:t>
      </w:r>
      <w:r w:rsidR="00CA2D8C" w:rsidRPr="008E6084">
        <w:rPr>
          <w:rStyle w:val="FootnoteReference"/>
          <w:rFonts w:ascii="Century Schoolbook" w:hAnsi="Century Schoolbook" w:cstheme="majorBidi"/>
          <w:sz w:val="24"/>
          <w:szCs w:val="24"/>
        </w:rPr>
        <w:footnoteReference w:id="15"/>
      </w:r>
      <w:r w:rsidR="00CA2D8C" w:rsidRPr="008E6084">
        <w:rPr>
          <w:rFonts w:ascii="Century Schoolbook" w:hAnsi="Century Schoolbook" w:cstheme="majorBidi"/>
          <w:sz w:val="24"/>
          <w:szCs w:val="24"/>
        </w:rPr>
        <w:t xml:space="preserve"> </w:t>
      </w:r>
      <w:r w:rsidR="0069009F" w:rsidRPr="008E6084">
        <w:rPr>
          <w:rFonts w:ascii="Century Schoolbook" w:hAnsi="Century Schoolbook" w:cstheme="majorBidi"/>
          <w:sz w:val="24"/>
          <w:szCs w:val="24"/>
        </w:rPr>
        <w:t xml:space="preserve">7 </w:t>
      </w:r>
      <w:r w:rsidRPr="008E6084">
        <w:rPr>
          <w:rFonts w:ascii="Century Schoolbook" w:hAnsi="Century Schoolbook" w:cstheme="majorBidi"/>
          <w:sz w:val="24"/>
          <w:szCs w:val="24"/>
        </w:rPr>
        <w:t xml:space="preserve">to </w:t>
      </w:r>
      <w:r w:rsidR="0069009F" w:rsidRPr="008E6084">
        <w:rPr>
          <w:rFonts w:ascii="Century Schoolbook" w:hAnsi="Century Schoolbook" w:cstheme="majorBidi"/>
          <w:sz w:val="24"/>
          <w:szCs w:val="24"/>
        </w:rPr>
        <w:t xml:space="preserve">15% </w:t>
      </w:r>
      <w:r w:rsidRPr="008E6084">
        <w:rPr>
          <w:rFonts w:ascii="Century Schoolbook" w:hAnsi="Century Schoolbook" w:cstheme="majorBidi"/>
          <w:sz w:val="24"/>
          <w:szCs w:val="24"/>
        </w:rPr>
        <w:t xml:space="preserve">of the human genetic markers vary between two groups from the same continent.  Only </w:t>
      </w:r>
      <w:r w:rsidR="0069009F" w:rsidRPr="008E6084">
        <w:rPr>
          <w:rFonts w:ascii="Century Schoolbook" w:hAnsi="Century Schoolbook" w:cstheme="majorBidi"/>
          <w:sz w:val="24"/>
          <w:szCs w:val="24"/>
        </w:rPr>
        <w:t xml:space="preserve">4 </w:t>
      </w:r>
      <w:r w:rsidRPr="008E6084">
        <w:rPr>
          <w:rFonts w:ascii="Century Schoolbook" w:hAnsi="Century Schoolbook" w:cstheme="majorBidi"/>
          <w:sz w:val="24"/>
          <w:szCs w:val="24"/>
        </w:rPr>
        <w:t xml:space="preserve">to </w:t>
      </w:r>
      <w:r w:rsidR="0069009F" w:rsidRPr="008E6084">
        <w:rPr>
          <w:rFonts w:ascii="Century Schoolbook" w:hAnsi="Century Schoolbook" w:cstheme="majorBidi"/>
          <w:sz w:val="24"/>
          <w:szCs w:val="24"/>
        </w:rPr>
        <w:t xml:space="preserve">5% </w:t>
      </w:r>
      <w:r w:rsidRPr="008E6084">
        <w:rPr>
          <w:rFonts w:ascii="Century Schoolbook" w:hAnsi="Century Schoolbook" w:cstheme="majorBidi"/>
          <w:sz w:val="24"/>
          <w:szCs w:val="24"/>
        </w:rPr>
        <w:t>of genetic variation occurs primarily between groups from different continents.  This between-continent variation represents a tiny fraction of our entire genomes (5% of 0.5%)</w:t>
      </w:r>
      <w:r w:rsidR="003919BB" w:rsidRPr="008E6084">
        <w:rPr>
          <w:rFonts w:ascii="Century Schoolbook" w:hAnsi="Century Schoolbook" w:cstheme="majorBidi"/>
          <w:sz w:val="24"/>
          <w:szCs w:val="24"/>
        </w:rPr>
        <w:t>.</w:t>
      </w:r>
      <w:r w:rsidR="00EF556C" w:rsidRPr="008E6084">
        <w:rPr>
          <w:rStyle w:val="FootnoteReference"/>
          <w:rFonts w:ascii="Century Schoolbook" w:hAnsi="Century Schoolbook" w:cstheme="majorBidi"/>
          <w:sz w:val="24"/>
          <w:szCs w:val="24"/>
        </w:rPr>
        <w:footnoteReference w:id="16"/>
      </w:r>
    </w:p>
    <w:p w14:paraId="0DF8C96B" w14:textId="61C82984" w:rsidR="003919BB" w:rsidRPr="008E6084" w:rsidRDefault="003919BB" w:rsidP="006A3C89">
      <w:pPr>
        <w:spacing w:line="276" w:lineRule="auto"/>
        <w:rPr>
          <w:rFonts w:ascii="Century Schoolbook" w:hAnsi="Century Schoolbook" w:cstheme="majorBidi"/>
          <w:sz w:val="24"/>
          <w:szCs w:val="24"/>
        </w:rPr>
      </w:pPr>
      <w:r w:rsidRPr="008E6084">
        <w:rPr>
          <w:rFonts w:ascii="Century Schoolbook" w:hAnsi="Century Schoolbook" w:cstheme="majorBidi"/>
          <w:sz w:val="24"/>
          <w:szCs w:val="24"/>
        </w:rPr>
        <w:t xml:space="preserve">In short, there is no genetic variant that only exist in a </w:t>
      </w:r>
      <w:proofErr w:type="gramStart"/>
      <w:r w:rsidRPr="008E6084">
        <w:rPr>
          <w:rFonts w:ascii="Century Schoolbook" w:hAnsi="Century Schoolbook" w:cstheme="majorBidi"/>
          <w:sz w:val="24"/>
          <w:szCs w:val="24"/>
        </w:rPr>
        <w:t>particular racial</w:t>
      </w:r>
      <w:proofErr w:type="gramEnd"/>
      <w:r w:rsidRPr="008E6084">
        <w:rPr>
          <w:rFonts w:ascii="Century Schoolbook" w:hAnsi="Century Schoolbook" w:cstheme="majorBidi"/>
          <w:sz w:val="24"/>
          <w:szCs w:val="24"/>
        </w:rPr>
        <w:t xml:space="preserve"> or ethnic group.  Thus, for example, cystic fibrosis is more commonly found in </w:t>
      </w:r>
      <w:r w:rsidR="00315E90" w:rsidRPr="008E6084">
        <w:rPr>
          <w:rFonts w:ascii="Century Schoolbook" w:hAnsi="Century Schoolbook" w:cstheme="majorBidi"/>
          <w:sz w:val="24"/>
          <w:szCs w:val="24"/>
        </w:rPr>
        <w:t>European</w:t>
      </w:r>
      <w:r w:rsidRPr="008E6084">
        <w:rPr>
          <w:rFonts w:ascii="Century Schoolbook" w:hAnsi="Century Schoolbook" w:cstheme="majorBidi"/>
          <w:sz w:val="24"/>
          <w:szCs w:val="24"/>
        </w:rPr>
        <w:t xml:space="preserve"> population</w:t>
      </w:r>
      <w:r w:rsidR="00315E90" w:rsidRPr="008E6084">
        <w:rPr>
          <w:rFonts w:ascii="Century Schoolbook" w:hAnsi="Century Schoolbook" w:cstheme="majorBidi"/>
          <w:sz w:val="24"/>
          <w:szCs w:val="24"/>
        </w:rPr>
        <w:t>s</w:t>
      </w:r>
      <w:r w:rsidRPr="008E6084">
        <w:rPr>
          <w:rFonts w:ascii="Century Schoolbook" w:hAnsi="Century Schoolbook" w:cstheme="majorBidi"/>
          <w:sz w:val="24"/>
          <w:szCs w:val="24"/>
        </w:rPr>
        <w:t>, but the disease affects all racial groups in the United States.</w:t>
      </w:r>
      <w:r w:rsidR="00315E90" w:rsidRPr="008E6084">
        <w:rPr>
          <w:rStyle w:val="FootnoteReference"/>
          <w:rFonts w:ascii="Century Schoolbook" w:hAnsi="Century Schoolbook" w:cstheme="majorBidi"/>
          <w:sz w:val="24"/>
          <w:szCs w:val="24"/>
        </w:rPr>
        <w:footnoteReference w:id="17"/>
      </w:r>
      <w:r w:rsidRPr="008E6084">
        <w:rPr>
          <w:rFonts w:ascii="Century Schoolbook" w:hAnsi="Century Schoolbook" w:cstheme="majorBidi"/>
          <w:sz w:val="24"/>
          <w:szCs w:val="24"/>
        </w:rPr>
        <w:t xml:space="preserve">  Similarly, until recently, citrin deficiency was thought to be found only in people of “East Asian” ancestry.  In fact, it is pan-ethnic.</w:t>
      </w:r>
      <w:r w:rsidR="00EF556C" w:rsidRPr="008E6084">
        <w:rPr>
          <w:rStyle w:val="FootnoteReference"/>
          <w:rFonts w:ascii="Century Schoolbook" w:hAnsi="Century Schoolbook" w:cstheme="majorBidi"/>
          <w:sz w:val="24"/>
          <w:szCs w:val="24"/>
        </w:rPr>
        <w:footnoteReference w:id="18"/>
      </w:r>
    </w:p>
    <w:p w14:paraId="35C169DC" w14:textId="4B545374" w:rsidR="003919BB" w:rsidRPr="008E6084" w:rsidRDefault="003919BB" w:rsidP="006A3C89">
      <w:pPr>
        <w:spacing w:line="276" w:lineRule="auto"/>
        <w:rPr>
          <w:rFonts w:ascii="Century Schoolbook" w:hAnsi="Century Schoolbook" w:cstheme="majorBidi"/>
          <w:sz w:val="24"/>
          <w:szCs w:val="24"/>
        </w:rPr>
      </w:pPr>
      <w:r w:rsidRPr="008E6084">
        <w:rPr>
          <w:rFonts w:ascii="Century Schoolbook" w:hAnsi="Century Schoolbook" w:cstheme="majorBidi"/>
          <w:sz w:val="24"/>
          <w:szCs w:val="24"/>
        </w:rPr>
        <w:t>Genetic diversity between and among populations do</w:t>
      </w:r>
      <w:r w:rsidR="002E4E06" w:rsidRPr="008E6084">
        <w:rPr>
          <w:rFonts w:ascii="Century Schoolbook" w:hAnsi="Century Schoolbook" w:cstheme="majorBidi"/>
          <w:sz w:val="24"/>
          <w:szCs w:val="24"/>
        </w:rPr>
        <w:t>es</w:t>
      </w:r>
      <w:r w:rsidRPr="008E6084">
        <w:rPr>
          <w:rFonts w:ascii="Century Schoolbook" w:hAnsi="Century Schoolbook" w:cstheme="majorBidi"/>
          <w:sz w:val="24"/>
          <w:szCs w:val="24"/>
        </w:rPr>
        <w:t xml:space="preserve"> exist.  </w:t>
      </w:r>
      <w:proofErr w:type="gramStart"/>
      <w:r w:rsidRPr="008E6084">
        <w:rPr>
          <w:rFonts w:ascii="Century Schoolbook" w:hAnsi="Century Schoolbook" w:cstheme="majorBidi"/>
          <w:sz w:val="24"/>
          <w:szCs w:val="24"/>
        </w:rPr>
        <w:t>So</w:t>
      </w:r>
      <w:proofErr w:type="gramEnd"/>
      <w:r w:rsidRPr="008E6084">
        <w:rPr>
          <w:rFonts w:ascii="Century Schoolbook" w:hAnsi="Century Schoolbook" w:cstheme="majorBidi"/>
          <w:sz w:val="24"/>
          <w:szCs w:val="24"/>
        </w:rPr>
        <w:t xml:space="preserve"> scientists often talk about “clinal variation” when they talk about human genomic variations.  Biologist Julian Huxley coined the term “clinal variation” to represent a geographical gradient in a particular trait across a species.</w:t>
      </w:r>
      <w:r w:rsidR="00EF556C" w:rsidRPr="008E6084">
        <w:rPr>
          <w:rStyle w:val="FootnoteReference"/>
          <w:rFonts w:ascii="Century Schoolbook" w:hAnsi="Century Schoolbook" w:cstheme="majorBidi"/>
          <w:sz w:val="24"/>
          <w:szCs w:val="24"/>
        </w:rPr>
        <w:footnoteReference w:id="19"/>
      </w:r>
    </w:p>
    <w:p w14:paraId="3EF2E1E8" w14:textId="58019861" w:rsidR="009C2BEA" w:rsidRPr="008E6084" w:rsidRDefault="009C2BEA" w:rsidP="006A3C89">
      <w:pPr>
        <w:spacing w:line="276" w:lineRule="auto"/>
        <w:rPr>
          <w:rFonts w:ascii="Century Schoolbook" w:hAnsi="Century Schoolbook" w:cstheme="majorBidi"/>
          <w:sz w:val="24"/>
          <w:szCs w:val="24"/>
        </w:rPr>
      </w:pPr>
      <w:r w:rsidRPr="008E6084">
        <w:rPr>
          <w:rFonts w:ascii="Century Schoolbook" w:hAnsi="Century Schoolbook" w:cstheme="majorBidi"/>
          <w:sz w:val="24"/>
          <w:szCs w:val="24"/>
        </w:rPr>
        <w:t>Nonetheless, there is a phenomenon of using ethnic and racial diversity as a proxy for human genetic diversity.  Correspondingly, there is a growing body of work exploring how race and ethnicity continue to be used as a shorthand for genetic differences in the genomic era, and the issues of concern that these practices raise, particularly around our understanding of what race and ethnicity are, and how such uses do or do not address ongoing racial inequalities and persistent discrimination</w:t>
      </w:r>
      <w:r w:rsidRPr="008E6084">
        <w:rPr>
          <w:rFonts w:ascii="Century Schoolbook" w:hAnsi="Century Schoolbook" w:cstheme="majorBidi"/>
          <w:noProof/>
          <w:sz w:val="24"/>
          <w:szCs w:val="24"/>
        </w:rPr>
        <w:t>.</w:t>
      </w:r>
      <w:r w:rsidR="00EF556C" w:rsidRPr="008E6084">
        <w:rPr>
          <w:rStyle w:val="FootnoteReference"/>
          <w:rFonts w:ascii="Century Schoolbook" w:hAnsi="Century Schoolbook" w:cstheme="majorBidi"/>
          <w:noProof/>
          <w:sz w:val="24"/>
          <w:szCs w:val="24"/>
        </w:rPr>
        <w:footnoteReference w:id="20"/>
      </w:r>
    </w:p>
    <w:p w14:paraId="06D15714" w14:textId="024D31E6" w:rsidR="009C2BEA" w:rsidRPr="008E6084" w:rsidRDefault="009C2BEA" w:rsidP="006A3C89">
      <w:pPr>
        <w:spacing w:line="276" w:lineRule="auto"/>
        <w:rPr>
          <w:rFonts w:ascii="Century Schoolbook" w:hAnsi="Century Schoolbook" w:cstheme="majorBidi"/>
          <w:color w:val="212121"/>
          <w:sz w:val="24"/>
          <w:szCs w:val="24"/>
        </w:rPr>
      </w:pPr>
      <w:r w:rsidRPr="008E6084">
        <w:rPr>
          <w:rFonts w:ascii="Century Schoolbook" w:hAnsi="Century Schoolbook" w:cstheme="majorBidi"/>
          <w:color w:val="212121"/>
          <w:sz w:val="24"/>
          <w:szCs w:val="24"/>
        </w:rPr>
        <w:lastRenderedPageBreak/>
        <w:t xml:space="preserve">The use of race as a category in biomedical research projects is complicated.  Indeed, the American Sociological Association issued a statement on how and when it can and should be used, and by </w:t>
      </w:r>
      <w:r w:rsidR="00B60333" w:rsidRPr="008E6084">
        <w:rPr>
          <w:rFonts w:ascii="Century Schoolbook" w:hAnsi="Century Schoolbook" w:cstheme="majorBidi"/>
          <w:color w:val="212121"/>
          <w:sz w:val="24"/>
          <w:szCs w:val="24"/>
        </w:rPr>
        <w:t>implication</w:t>
      </w:r>
      <w:r w:rsidRPr="008E6084">
        <w:rPr>
          <w:rFonts w:ascii="Century Schoolbook" w:hAnsi="Century Schoolbook" w:cstheme="majorBidi"/>
          <w:color w:val="212121"/>
          <w:sz w:val="24"/>
          <w:szCs w:val="24"/>
        </w:rPr>
        <w:t xml:space="preserve">, when it should not.  For example, when trying to assess the way a society uses race to deliver health care, then race can and should be used.  There will be health consequences, some showing up as biologically different outcomes (higher rates of hypertension or a </w:t>
      </w:r>
      <w:proofErr w:type="gramStart"/>
      <w:r w:rsidRPr="008E6084">
        <w:rPr>
          <w:rFonts w:ascii="Century Schoolbook" w:hAnsi="Century Schoolbook" w:cstheme="majorBidi"/>
          <w:color w:val="212121"/>
          <w:sz w:val="24"/>
          <w:szCs w:val="24"/>
        </w:rPr>
        <w:t>particular form</w:t>
      </w:r>
      <w:proofErr w:type="gramEnd"/>
      <w:r w:rsidRPr="008E6084">
        <w:rPr>
          <w:rFonts w:ascii="Century Schoolbook" w:hAnsi="Century Schoolbook" w:cstheme="majorBidi"/>
          <w:color w:val="212121"/>
          <w:sz w:val="24"/>
          <w:szCs w:val="24"/>
        </w:rPr>
        <w:t xml:space="preserve"> of cancer, for example).  But to use race to differentiate among a population because of the assumption of biological or genetic differences is another matter. That is, if it is assume</w:t>
      </w:r>
      <w:r w:rsidR="00B2484B" w:rsidRPr="008E6084">
        <w:rPr>
          <w:rFonts w:ascii="Century Schoolbook" w:hAnsi="Century Schoolbook" w:cstheme="majorBidi"/>
          <w:color w:val="212121"/>
          <w:sz w:val="24"/>
          <w:szCs w:val="24"/>
        </w:rPr>
        <w:t xml:space="preserve">d by the research team that the </w:t>
      </w:r>
      <w:r w:rsidRPr="008E6084">
        <w:rPr>
          <w:rFonts w:ascii="Century Schoolbook" w:hAnsi="Century Schoolbook" w:cstheme="majorBidi"/>
          <w:color w:val="212121"/>
          <w:sz w:val="24"/>
          <w:szCs w:val="24"/>
        </w:rPr>
        <w:t xml:space="preserve">differences between populations </w:t>
      </w:r>
      <w:r w:rsidR="002E4E06" w:rsidRPr="008E6084">
        <w:rPr>
          <w:rFonts w:ascii="Century Schoolbook" w:hAnsi="Century Schoolbook" w:cstheme="majorBidi"/>
          <w:color w:val="212121"/>
          <w:sz w:val="24"/>
          <w:szCs w:val="24"/>
        </w:rPr>
        <w:t xml:space="preserve">are </w:t>
      </w:r>
      <w:r w:rsidRPr="008E6084">
        <w:rPr>
          <w:rFonts w:ascii="Century Schoolbook" w:hAnsi="Century Schoolbook" w:cstheme="majorBidi"/>
          <w:color w:val="212121"/>
          <w:sz w:val="24"/>
          <w:szCs w:val="24"/>
        </w:rPr>
        <w:t xml:space="preserve">bio-genetic in origins, as opposed to outcomes of different </w:t>
      </w:r>
      <w:r w:rsidR="003E4EAC" w:rsidRPr="008E6084">
        <w:rPr>
          <w:rFonts w:ascii="Century Schoolbook" w:hAnsi="Century Schoolbook" w:cstheme="majorBidi"/>
          <w:color w:val="212121"/>
          <w:sz w:val="24"/>
          <w:szCs w:val="24"/>
        </w:rPr>
        <w:t>environmental exposures</w:t>
      </w:r>
      <w:r w:rsidRPr="008E6084">
        <w:rPr>
          <w:rFonts w:ascii="Century Schoolbook" w:hAnsi="Century Schoolbook" w:cstheme="majorBidi"/>
          <w:color w:val="212121"/>
          <w:sz w:val="24"/>
          <w:szCs w:val="24"/>
        </w:rPr>
        <w:t xml:space="preserve">, then that constitutes </w:t>
      </w:r>
      <w:r w:rsidR="00953179" w:rsidRPr="008E6084">
        <w:rPr>
          <w:rFonts w:ascii="Century Schoolbook" w:hAnsi="Century Schoolbook" w:cstheme="majorBidi"/>
          <w:color w:val="212121"/>
          <w:sz w:val="24"/>
          <w:szCs w:val="24"/>
        </w:rPr>
        <w:t xml:space="preserve">a misguided and dangerous </w:t>
      </w:r>
      <w:r w:rsidRPr="008E6084">
        <w:rPr>
          <w:rFonts w:ascii="Century Schoolbook" w:hAnsi="Century Schoolbook" w:cstheme="majorBidi"/>
          <w:color w:val="212121"/>
          <w:sz w:val="24"/>
          <w:szCs w:val="24"/>
        </w:rPr>
        <w:t>reification of race and ethnicity as a bio-genetic category.</w:t>
      </w:r>
      <w:r w:rsidR="00EF556C" w:rsidRPr="008E6084">
        <w:rPr>
          <w:rStyle w:val="FootnoteReference"/>
          <w:rFonts w:ascii="Century Schoolbook" w:hAnsi="Century Schoolbook" w:cstheme="majorBidi"/>
          <w:color w:val="212121"/>
          <w:sz w:val="24"/>
          <w:szCs w:val="24"/>
        </w:rPr>
        <w:footnoteReference w:id="21"/>
      </w:r>
    </w:p>
    <w:p w14:paraId="2376562A" w14:textId="77777777" w:rsidR="009C2BEA" w:rsidRPr="008E6084" w:rsidRDefault="009C2BEA" w:rsidP="006A3C89">
      <w:pPr>
        <w:spacing w:line="276" w:lineRule="auto"/>
        <w:jc w:val="both"/>
        <w:rPr>
          <w:rFonts w:ascii="Century Schoolbook" w:hAnsi="Century Schoolbook" w:cstheme="majorBidi"/>
          <w:sz w:val="24"/>
          <w:szCs w:val="24"/>
        </w:rPr>
      </w:pPr>
    </w:p>
    <w:p w14:paraId="5FF8D551" w14:textId="1F639B47" w:rsidR="002017E7" w:rsidRPr="008E6084" w:rsidRDefault="00CA2D8C"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t>The advantages of using race &amp; ethnicity in genomics research</w:t>
      </w:r>
    </w:p>
    <w:p w14:paraId="41B43F98" w14:textId="4E5795D9" w:rsidR="00535366" w:rsidRPr="008E6084" w:rsidRDefault="00535366" w:rsidP="006A3C89">
      <w:pPr>
        <w:spacing w:line="276" w:lineRule="auto"/>
        <w:jc w:val="both"/>
        <w:rPr>
          <w:rFonts w:ascii="Century Schoolbook" w:hAnsi="Century Schoolbook" w:cstheme="majorBidi"/>
          <w:color w:val="333333"/>
          <w:sz w:val="24"/>
          <w:szCs w:val="24"/>
        </w:rPr>
      </w:pPr>
      <w:r w:rsidRPr="008E6084">
        <w:rPr>
          <w:rFonts w:ascii="Century Schoolbook" w:hAnsi="Century Schoolbook" w:cstheme="majorBidi"/>
          <w:sz w:val="24"/>
          <w:szCs w:val="24"/>
        </w:rPr>
        <w:t>From a genetic perspective, i</w:t>
      </w:r>
      <w:r w:rsidRPr="008E6084">
        <w:rPr>
          <w:rFonts w:ascii="Century Schoolbook" w:hAnsi="Century Schoolbook" w:cstheme="majorBidi"/>
          <w:color w:val="333333"/>
          <w:sz w:val="24"/>
          <w:szCs w:val="24"/>
        </w:rPr>
        <w:t>f the human population mated at random, there would be no issue of subgrouping because the chance of any individual carrying a specific gene variant would be evenly distributed around the world. For a variety of reasons, however, including geography, sociology and culture, humans have not and do not currently mate randomly, either on a global level or within countries</w:t>
      </w:r>
      <w:r w:rsidR="00BF647E" w:rsidRPr="008E6084">
        <w:rPr>
          <w:rFonts w:ascii="Century Schoolbook" w:hAnsi="Century Schoolbook" w:cstheme="majorBidi"/>
          <w:color w:val="333333"/>
          <w:sz w:val="24"/>
          <w:szCs w:val="24"/>
        </w:rPr>
        <w:t xml:space="preserve"> – and race and ethnicity do play a role in who people pick as partners</w:t>
      </w:r>
      <w:r w:rsidRPr="008E6084">
        <w:rPr>
          <w:rFonts w:ascii="Century Schoolbook" w:hAnsi="Century Schoolbook" w:cstheme="majorBidi"/>
          <w:color w:val="333333"/>
          <w:sz w:val="24"/>
          <w:szCs w:val="24"/>
        </w:rPr>
        <w:t>.</w:t>
      </w:r>
      <w:r w:rsidR="00F423F6" w:rsidRPr="008E6084">
        <w:rPr>
          <w:rStyle w:val="FootnoteReference"/>
          <w:rFonts w:ascii="Century Schoolbook" w:hAnsi="Century Schoolbook" w:cstheme="majorBidi"/>
          <w:color w:val="333333"/>
          <w:sz w:val="24"/>
          <w:szCs w:val="24"/>
        </w:rPr>
        <w:footnoteReference w:id="22"/>
      </w:r>
      <w:r w:rsidRPr="008E6084">
        <w:rPr>
          <w:rFonts w:ascii="Century Schoolbook" w:hAnsi="Century Schoolbook" w:cstheme="majorBidi"/>
          <w:color w:val="333333"/>
          <w:sz w:val="24"/>
          <w:szCs w:val="24"/>
        </w:rPr>
        <w:t xml:space="preserve">  As a consequence, many variants (often the variants that are most useful for informing human biology) are </w:t>
      </w:r>
      <w:r w:rsidR="0069009F" w:rsidRPr="008E6084">
        <w:rPr>
          <w:rFonts w:ascii="Century Schoolbook" w:hAnsi="Century Schoolbook" w:cstheme="majorBidi"/>
          <w:color w:val="333333"/>
          <w:sz w:val="24"/>
          <w:szCs w:val="24"/>
        </w:rPr>
        <w:t>substantially more common</w:t>
      </w:r>
      <w:r w:rsidRPr="008E6084">
        <w:rPr>
          <w:rFonts w:ascii="Century Schoolbook" w:hAnsi="Century Schoolbook" w:cstheme="majorBidi"/>
          <w:color w:val="333333"/>
          <w:sz w:val="24"/>
          <w:szCs w:val="24"/>
        </w:rPr>
        <w:t xml:space="preserve"> </w:t>
      </w:r>
      <w:r w:rsidR="0069009F" w:rsidRPr="008E6084">
        <w:rPr>
          <w:rFonts w:ascii="Century Schoolbook" w:hAnsi="Century Schoolbook" w:cstheme="majorBidi"/>
          <w:color w:val="333333"/>
          <w:sz w:val="24"/>
          <w:szCs w:val="24"/>
        </w:rPr>
        <w:t>in certain</w:t>
      </w:r>
      <w:r w:rsidRPr="008E6084">
        <w:rPr>
          <w:rFonts w:ascii="Century Schoolbook" w:hAnsi="Century Schoolbook" w:cstheme="majorBidi"/>
          <w:color w:val="333333"/>
          <w:sz w:val="24"/>
          <w:szCs w:val="24"/>
        </w:rPr>
        <w:t xml:space="preserve"> subgroup</w:t>
      </w:r>
      <w:r w:rsidR="0069009F" w:rsidRPr="008E6084">
        <w:rPr>
          <w:rFonts w:ascii="Century Schoolbook" w:hAnsi="Century Schoolbook" w:cstheme="majorBidi"/>
          <w:color w:val="333333"/>
          <w:sz w:val="24"/>
          <w:szCs w:val="24"/>
        </w:rPr>
        <w:t>s</w:t>
      </w:r>
      <w:r w:rsidRPr="008E6084">
        <w:rPr>
          <w:rFonts w:ascii="Century Schoolbook" w:hAnsi="Century Schoolbook" w:cstheme="majorBidi"/>
          <w:color w:val="333333"/>
          <w:sz w:val="24"/>
          <w:szCs w:val="24"/>
        </w:rPr>
        <w:t xml:space="preserve">.  </w:t>
      </w:r>
      <w:r w:rsidR="00BF647E" w:rsidRPr="008E6084">
        <w:rPr>
          <w:rFonts w:ascii="Century Schoolbook" w:hAnsi="Century Schoolbook" w:cstheme="majorBidi"/>
          <w:color w:val="333333"/>
          <w:sz w:val="24"/>
          <w:szCs w:val="24"/>
        </w:rPr>
        <w:t xml:space="preserve">Failure to gather data on those variants by targeting subgroups (including by race/ethnicity) could increase healthcare disparities for conditions that have a genetic basis and are </w:t>
      </w:r>
      <w:r w:rsidR="00F423F6" w:rsidRPr="008E6084">
        <w:rPr>
          <w:rFonts w:ascii="Century Schoolbook" w:hAnsi="Century Schoolbook" w:cstheme="majorBidi"/>
          <w:color w:val="333333"/>
          <w:sz w:val="24"/>
          <w:szCs w:val="24"/>
        </w:rPr>
        <w:t>much more prevalent</w:t>
      </w:r>
      <w:r w:rsidR="00BF647E" w:rsidRPr="008E6084">
        <w:rPr>
          <w:rFonts w:ascii="Century Schoolbook" w:hAnsi="Century Schoolbook" w:cstheme="majorBidi"/>
          <w:color w:val="333333"/>
          <w:sz w:val="24"/>
          <w:szCs w:val="24"/>
        </w:rPr>
        <w:t xml:space="preserve"> in </w:t>
      </w:r>
      <w:r w:rsidR="00F423F6" w:rsidRPr="008E6084">
        <w:rPr>
          <w:rFonts w:ascii="Century Schoolbook" w:hAnsi="Century Schoolbook" w:cstheme="majorBidi"/>
          <w:color w:val="333333"/>
          <w:sz w:val="24"/>
          <w:szCs w:val="24"/>
        </w:rPr>
        <w:t>an under-studied</w:t>
      </w:r>
      <w:r w:rsidR="00BF647E" w:rsidRPr="008E6084">
        <w:rPr>
          <w:rFonts w:ascii="Century Schoolbook" w:hAnsi="Century Schoolbook" w:cstheme="majorBidi"/>
          <w:color w:val="333333"/>
          <w:sz w:val="24"/>
          <w:szCs w:val="24"/>
        </w:rPr>
        <w:t xml:space="preserve"> subgroup</w:t>
      </w:r>
      <w:r w:rsidR="001E73E7" w:rsidRPr="008E6084">
        <w:rPr>
          <w:rStyle w:val="FootnoteReference"/>
          <w:rFonts w:ascii="Century Schoolbook" w:hAnsi="Century Schoolbook" w:cstheme="majorBidi"/>
          <w:color w:val="333333"/>
          <w:sz w:val="24"/>
          <w:szCs w:val="24"/>
        </w:rPr>
        <w:footnoteReference w:id="23"/>
      </w:r>
      <w:r w:rsidR="00BF647E" w:rsidRPr="008E6084">
        <w:rPr>
          <w:rFonts w:ascii="Century Schoolbook" w:hAnsi="Century Schoolbook" w:cstheme="majorBidi"/>
          <w:color w:val="333333"/>
          <w:sz w:val="24"/>
          <w:szCs w:val="24"/>
        </w:rPr>
        <w:t xml:space="preserve"> – an issue we return to in the discussion of distributive justice below. At the same time, access to data on these variants can also increase our ability to understand the biological basis of human disease.  </w:t>
      </w:r>
    </w:p>
    <w:p w14:paraId="1A8155B4" w14:textId="3D54FED0" w:rsidR="00BF647E" w:rsidRPr="008E6084" w:rsidRDefault="00BF647E" w:rsidP="006A3C89">
      <w:pPr>
        <w:spacing w:line="276" w:lineRule="auto"/>
        <w:jc w:val="both"/>
        <w:rPr>
          <w:rFonts w:ascii="Century Schoolbook" w:hAnsi="Century Schoolbook" w:cstheme="majorBidi"/>
          <w:color w:val="333333"/>
          <w:sz w:val="24"/>
          <w:szCs w:val="24"/>
        </w:rPr>
      </w:pPr>
      <w:r w:rsidRPr="008E6084">
        <w:rPr>
          <w:rFonts w:ascii="Century Schoolbook" w:hAnsi="Century Schoolbook" w:cstheme="majorBidi"/>
          <w:color w:val="333333"/>
          <w:sz w:val="24"/>
          <w:szCs w:val="24"/>
        </w:rPr>
        <w:t xml:space="preserve">It has been argued that a small number of genetic variants can effectively identify these sub-groups, which may be as precise, if not more precise, in defining the </w:t>
      </w:r>
      <w:r w:rsidRPr="008E6084">
        <w:rPr>
          <w:rFonts w:ascii="Century Schoolbook" w:hAnsi="Century Schoolbook" w:cstheme="majorBidi"/>
          <w:color w:val="333333"/>
          <w:sz w:val="24"/>
          <w:szCs w:val="24"/>
        </w:rPr>
        <w:lastRenderedPageBreak/>
        <w:t>genetic background than by race/ethnicity.</w:t>
      </w:r>
      <w:r w:rsidR="00341D88" w:rsidRPr="008E6084">
        <w:rPr>
          <w:rStyle w:val="FootnoteReference"/>
          <w:rFonts w:ascii="Century Schoolbook" w:hAnsi="Century Schoolbook" w:cstheme="majorBidi"/>
          <w:color w:val="333333"/>
          <w:sz w:val="24"/>
          <w:szCs w:val="24"/>
        </w:rPr>
        <w:footnoteReference w:id="24"/>
      </w:r>
      <w:r w:rsidRPr="008E6084">
        <w:rPr>
          <w:rFonts w:ascii="Century Schoolbook" w:hAnsi="Century Schoolbook" w:cstheme="majorBidi"/>
          <w:color w:val="333333"/>
          <w:sz w:val="24"/>
          <w:szCs w:val="24"/>
        </w:rPr>
        <w:t xml:space="preserve">  </w:t>
      </w:r>
      <w:r w:rsidR="00236017" w:rsidRPr="008E6084">
        <w:rPr>
          <w:rFonts w:ascii="Century Schoolbook" w:hAnsi="Century Schoolbook" w:cstheme="majorBidi"/>
          <w:color w:val="333333"/>
          <w:sz w:val="24"/>
          <w:szCs w:val="24"/>
        </w:rPr>
        <w:t>But</w:t>
      </w:r>
      <w:r w:rsidRPr="008E6084">
        <w:rPr>
          <w:rFonts w:ascii="Century Schoolbook" w:hAnsi="Century Schoolbook" w:cstheme="majorBidi"/>
          <w:color w:val="333333"/>
          <w:sz w:val="24"/>
          <w:szCs w:val="24"/>
        </w:rPr>
        <w:t xml:space="preserve"> </w:t>
      </w:r>
      <w:r w:rsidR="00236017" w:rsidRPr="008E6084">
        <w:rPr>
          <w:rFonts w:ascii="Century Schoolbook" w:hAnsi="Century Schoolbook" w:cstheme="majorBidi"/>
          <w:color w:val="333333"/>
          <w:sz w:val="24"/>
          <w:szCs w:val="24"/>
        </w:rPr>
        <w:t>two</w:t>
      </w:r>
      <w:r w:rsidRPr="008E6084">
        <w:rPr>
          <w:rFonts w:ascii="Century Schoolbook" w:hAnsi="Century Schoolbook" w:cstheme="majorBidi"/>
          <w:color w:val="333333"/>
          <w:sz w:val="24"/>
          <w:szCs w:val="24"/>
        </w:rPr>
        <w:t xml:space="preserve"> points are worth noting at this time. </w:t>
      </w:r>
    </w:p>
    <w:p w14:paraId="4B21F77F" w14:textId="4B48A538" w:rsidR="00BF647E" w:rsidRPr="008E6084" w:rsidRDefault="00BF647E" w:rsidP="006A3C89">
      <w:pPr>
        <w:spacing w:line="276" w:lineRule="auto"/>
        <w:jc w:val="both"/>
        <w:rPr>
          <w:rFonts w:ascii="Century Schoolbook" w:hAnsi="Century Schoolbook" w:cstheme="majorBidi"/>
          <w:color w:val="333333"/>
          <w:sz w:val="24"/>
          <w:szCs w:val="24"/>
        </w:rPr>
      </w:pPr>
      <w:r w:rsidRPr="008E6084">
        <w:rPr>
          <w:rFonts w:ascii="Century Schoolbook" w:hAnsi="Century Schoolbook" w:cstheme="majorBidi"/>
          <w:color w:val="333333"/>
          <w:sz w:val="24"/>
          <w:szCs w:val="24"/>
        </w:rPr>
        <w:t xml:space="preserve">Firstly, the time may come that some limited genetic information would be available for the entire population in the world, so that populations with unique population histories can be identified on genetic grounds rather than social constructs such as race and ethnicity.  However, </w:t>
      </w:r>
      <w:r w:rsidR="00236017" w:rsidRPr="008E6084">
        <w:rPr>
          <w:rFonts w:ascii="Century Schoolbook" w:hAnsi="Century Schoolbook" w:cstheme="majorBidi"/>
          <w:color w:val="333333"/>
          <w:sz w:val="24"/>
          <w:szCs w:val="24"/>
        </w:rPr>
        <w:t xml:space="preserve">we currently lack such diversity in genetic datasets and tissue repositories, and </w:t>
      </w:r>
      <w:r w:rsidRPr="008E6084">
        <w:rPr>
          <w:rFonts w:ascii="Century Schoolbook" w:hAnsi="Century Schoolbook" w:cstheme="majorBidi"/>
          <w:color w:val="333333"/>
          <w:sz w:val="24"/>
          <w:szCs w:val="24"/>
        </w:rPr>
        <w:t xml:space="preserve">it could be argued that race/ethnicity represent </w:t>
      </w:r>
      <w:r w:rsidR="00CA2D8C" w:rsidRPr="008E6084">
        <w:rPr>
          <w:rFonts w:ascii="Century Schoolbook" w:hAnsi="Century Schoolbook" w:cstheme="majorBidi"/>
          <w:color w:val="333333"/>
          <w:sz w:val="24"/>
          <w:szCs w:val="24"/>
        </w:rPr>
        <w:t>straightforward</w:t>
      </w:r>
      <w:r w:rsidRPr="008E6084">
        <w:rPr>
          <w:rFonts w:ascii="Century Schoolbook" w:hAnsi="Century Schoolbook" w:cstheme="majorBidi"/>
          <w:color w:val="333333"/>
          <w:sz w:val="24"/>
          <w:szCs w:val="24"/>
        </w:rPr>
        <w:t xml:space="preserve"> means by which we can ensure adequate representation of all sub-groups.</w:t>
      </w:r>
      <w:r w:rsidR="001E73E7" w:rsidRPr="008E6084">
        <w:rPr>
          <w:rStyle w:val="FootnoteReference"/>
          <w:rFonts w:ascii="Century Schoolbook" w:hAnsi="Century Schoolbook" w:cstheme="majorBidi"/>
          <w:color w:val="333333"/>
          <w:sz w:val="24"/>
          <w:szCs w:val="24"/>
        </w:rPr>
        <w:footnoteReference w:id="25"/>
      </w:r>
      <w:r w:rsidRPr="008E6084">
        <w:rPr>
          <w:rFonts w:ascii="Century Schoolbook" w:hAnsi="Century Schoolbook" w:cstheme="majorBidi"/>
          <w:color w:val="333333"/>
          <w:sz w:val="24"/>
          <w:szCs w:val="24"/>
        </w:rPr>
        <w:t xml:space="preserve">  It is entirely possible that other constructs, such as geographic diversity, could replace race and ethnicity as proxies of genetic diversity </w:t>
      </w:r>
      <w:r w:rsidR="00C2469A" w:rsidRPr="008E6084">
        <w:rPr>
          <w:rFonts w:ascii="Century Schoolbook" w:hAnsi="Century Schoolbook" w:cstheme="majorBidi"/>
          <w:color w:val="333333"/>
          <w:sz w:val="24"/>
          <w:szCs w:val="24"/>
        </w:rPr>
        <w:t>in this context</w:t>
      </w:r>
      <w:r w:rsidRPr="008E6084">
        <w:rPr>
          <w:rFonts w:ascii="Century Schoolbook" w:hAnsi="Century Schoolbook" w:cstheme="majorBidi"/>
          <w:color w:val="333333"/>
          <w:sz w:val="24"/>
          <w:szCs w:val="24"/>
        </w:rPr>
        <w:t xml:space="preserve">.  </w:t>
      </w:r>
    </w:p>
    <w:p w14:paraId="6331AE2F" w14:textId="57DE0903" w:rsidR="00B60333" w:rsidRPr="008E6084" w:rsidRDefault="00236017"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color w:val="333333"/>
          <w:sz w:val="24"/>
          <w:szCs w:val="24"/>
        </w:rPr>
        <w:t xml:space="preserve">Secondly, </w:t>
      </w:r>
      <w:r w:rsidR="000A129D" w:rsidRPr="008E6084">
        <w:rPr>
          <w:rFonts w:ascii="Century Schoolbook" w:hAnsi="Century Schoolbook" w:cstheme="majorBidi"/>
          <w:color w:val="333333"/>
          <w:sz w:val="24"/>
          <w:szCs w:val="24"/>
        </w:rPr>
        <w:t>h</w:t>
      </w:r>
      <w:r w:rsidR="004D6A8E" w:rsidRPr="008E6084">
        <w:rPr>
          <w:rFonts w:ascii="Century Schoolbook" w:hAnsi="Century Schoolbook" w:cstheme="majorBidi"/>
          <w:sz w:val="24"/>
          <w:szCs w:val="24"/>
        </w:rPr>
        <w:t xml:space="preserve">ealth also has many social determinants.  In fact, it has been suggested that the social determinants of health have a greater impact than genetic determinants and may interact with the genetic determinants.  Ethnicity may </w:t>
      </w:r>
      <w:r w:rsidR="001E73E7" w:rsidRPr="008E6084">
        <w:rPr>
          <w:rFonts w:ascii="Century Schoolbook" w:hAnsi="Century Schoolbook" w:cstheme="majorBidi"/>
          <w:sz w:val="24"/>
          <w:szCs w:val="24"/>
        </w:rPr>
        <w:t>be associated</w:t>
      </w:r>
      <w:r w:rsidR="004D6A8E" w:rsidRPr="008E6084">
        <w:rPr>
          <w:rFonts w:ascii="Century Schoolbook" w:hAnsi="Century Schoolbook" w:cstheme="majorBidi"/>
          <w:sz w:val="24"/>
          <w:szCs w:val="24"/>
        </w:rPr>
        <w:t xml:space="preserve"> </w:t>
      </w:r>
      <w:r w:rsidR="00974163" w:rsidRPr="008E6084">
        <w:rPr>
          <w:rFonts w:ascii="Century Schoolbook" w:hAnsi="Century Schoolbook" w:cstheme="majorBidi"/>
          <w:sz w:val="24"/>
          <w:szCs w:val="24"/>
        </w:rPr>
        <w:t xml:space="preserve">with </w:t>
      </w:r>
      <w:r w:rsidR="004D6A8E" w:rsidRPr="008E6084">
        <w:rPr>
          <w:rFonts w:ascii="Century Schoolbook" w:hAnsi="Century Schoolbook" w:cstheme="majorBidi"/>
          <w:sz w:val="24"/>
          <w:szCs w:val="24"/>
        </w:rPr>
        <w:t>differences in environmental exposures.</w:t>
      </w:r>
      <w:r w:rsidR="001E73E7" w:rsidRPr="008E6084">
        <w:rPr>
          <w:rStyle w:val="FootnoteReference"/>
          <w:rFonts w:ascii="Century Schoolbook" w:hAnsi="Century Schoolbook" w:cstheme="majorBidi"/>
          <w:sz w:val="24"/>
          <w:szCs w:val="24"/>
        </w:rPr>
        <w:footnoteReference w:id="26"/>
      </w:r>
      <w:r w:rsidR="004D6A8E" w:rsidRPr="008E6084">
        <w:rPr>
          <w:rFonts w:ascii="Century Schoolbook" w:hAnsi="Century Schoolbook" w:cstheme="majorBidi"/>
          <w:sz w:val="24"/>
          <w:szCs w:val="24"/>
        </w:rPr>
        <w:t xml:space="preserve">  Ethnicity could be used as a proxy for these exposures, which have the potential to confound data analyses.  As such, the inclusion of diverse ethnic groups may allow scientists to disentangle the effects of confounders which may be correlated in one population but not in others.  </w:t>
      </w:r>
    </w:p>
    <w:p w14:paraId="15061144" w14:textId="5B803653" w:rsidR="00236017" w:rsidRPr="008E6084" w:rsidRDefault="004D6A8E"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Still, sampling based on constructs other than ethnicity could achieve the same </w:t>
      </w:r>
      <w:r w:rsidR="00E053AF" w:rsidRPr="008E6084">
        <w:rPr>
          <w:rFonts w:ascii="Century Schoolbook" w:hAnsi="Century Schoolbook" w:cstheme="majorBidi"/>
          <w:sz w:val="24"/>
          <w:szCs w:val="24"/>
        </w:rPr>
        <w:t>goal</w:t>
      </w:r>
      <w:r w:rsidR="001E73E7" w:rsidRPr="008E6084">
        <w:rPr>
          <w:rStyle w:val="FootnoteReference"/>
          <w:rFonts w:ascii="Century Schoolbook" w:hAnsi="Century Schoolbook" w:cstheme="majorBidi"/>
          <w:sz w:val="24"/>
          <w:szCs w:val="24"/>
        </w:rPr>
        <w:footnoteReference w:id="27"/>
      </w:r>
      <w:r w:rsidRPr="008E6084">
        <w:rPr>
          <w:rFonts w:ascii="Century Schoolbook" w:hAnsi="Century Schoolbook" w:cstheme="majorBidi"/>
          <w:sz w:val="24"/>
          <w:szCs w:val="24"/>
        </w:rPr>
        <w:t xml:space="preserve"> – so using ethnicity as a proxy is only useful insofar as datasets are not rich enough to capture potential environmental exposures that have an impact on health.  </w:t>
      </w:r>
    </w:p>
    <w:p w14:paraId="12BD64C1" w14:textId="4DAF84FB" w:rsidR="004D6A8E" w:rsidRPr="008E6084" w:rsidRDefault="004D6A8E"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t>Attempts at resolution</w:t>
      </w:r>
    </w:p>
    <w:p w14:paraId="618D64F4" w14:textId="718D6EAA" w:rsidR="004D6A8E" w:rsidRPr="008E6084" w:rsidRDefault="00595C6B"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Insofar as race or ethnicity are only relevant as proxies of actual causes of disease or health status, not causes themselves, the long-term solution to this conflict is to gather enough data from a sufficiently diverse global population. The actual causal mechanisms could then be used, and not problematic proxies of race or ethnicity. In the meantime, though, when </w:t>
      </w:r>
      <w:r w:rsidR="000A129D" w:rsidRPr="008E6084">
        <w:rPr>
          <w:rFonts w:ascii="Century Schoolbook" w:hAnsi="Century Schoolbook" w:cstheme="majorBidi"/>
          <w:sz w:val="24"/>
          <w:szCs w:val="24"/>
        </w:rPr>
        <w:t>the mechanisms have not been fully elucidated</w:t>
      </w:r>
      <w:r w:rsidRPr="008E6084">
        <w:rPr>
          <w:rFonts w:ascii="Century Schoolbook" w:hAnsi="Century Schoolbook" w:cstheme="majorBidi"/>
          <w:sz w:val="24"/>
          <w:szCs w:val="24"/>
        </w:rPr>
        <w:t xml:space="preserve">, a tension remains. </w:t>
      </w:r>
    </w:p>
    <w:p w14:paraId="0B10476A" w14:textId="60B0E8BD" w:rsidR="006F5D78" w:rsidRPr="008E6084" w:rsidRDefault="006F5D78"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One attempt </w:t>
      </w:r>
      <w:r w:rsidR="00260070" w:rsidRPr="008E6084">
        <w:rPr>
          <w:rFonts w:ascii="Century Schoolbook" w:hAnsi="Century Schoolbook" w:cstheme="majorBidi"/>
          <w:sz w:val="24"/>
          <w:szCs w:val="24"/>
        </w:rPr>
        <w:t xml:space="preserve">to address some </w:t>
      </w:r>
      <w:r w:rsidRPr="008E6084">
        <w:rPr>
          <w:rFonts w:ascii="Century Schoolbook" w:hAnsi="Century Schoolbook" w:cstheme="majorBidi"/>
          <w:sz w:val="24"/>
          <w:szCs w:val="24"/>
        </w:rPr>
        <w:t xml:space="preserve">of these </w:t>
      </w:r>
      <w:r w:rsidR="00260070" w:rsidRPr="008E6084">
        <w:rPr>
          <w:rFonts w:ascii="Century Schoolbook" w:hAnsi="Century Schoolbook" w:cstheme="majorBidi"/>
          <w:sz w:val="24"/>
          <w:szCs w:val="24"/>
        </w:rPr>
        <w:t xml:space="preserve">vulnerabilities </w:t>
      </w:r>
      <w:r w:rsidRPr="008E6084">
        <w:rPr>
          <w:rFonts w:ascii="Century Schoolbook" w:hAnsi="Century Schoolbook" w:cstheme="majorBidi"/>
          <w:sz w:val="24"/>
          <w:szCs w:val="24"/>
        </w:rPr>
        <w:t xml:space="preserve">is to turn to the communities subject to racial and ethnic classification, to ascertain their views on the </w:t>
      </w:r>
      <w:r w:rsidRPr="008E6084">
        <w:rPr>
          <w:rFonts w:ascii="Century Schoolbook" w:hAnsi="Century Schoolbook" w:cstheme="majorBidi"/>
          <w:sz w:val="24"/>
          <w:szCs w:val="24"/>
        </w:rPr>
        <w:lastRenderedPageBreak/>
        <w:t>legitimacy of using such categories.</w:t>
      </w:r>
      <w:r w:rsidR="002533AD" w:rsidRPr="008E6084">
        <w:rPr>
          <w:rStyle w:val="FootnoteReference"/>
          <w:rFonts w:ascii="Century Schoolbook" w:hAnsi="Century Schoolbook" w:cstheme="majorBidi"/>
          <w:sz w:val="24"/>
          <w:szCs w:val="24"/>
        </w:rPr>
        <w:footnoteReference w:id="28"/>
      </w:r>
      <w:r w:rsidRPr="008E6084">
        <w:rPr>
          <w:rFonts w:ascii="Century Schoolbook" w:hAnsi="Century Schoolbook" w:cstheme="majorBidi"/>
          <w:sz w:val="24"/>
          <w:szCs w:val="24"/>
        </w:rPr>
        <w:t xml:space="preserve">  As individuals and groups who would be primarily subject to the harms of racial classification, their perspective could help shed light on the extent to which those potential harms might be justified in particular cases. </w:t>
      </w:r>
      <w:r w:rsidR="00F028A2" w:rsidRPr="008E6084">
        <w:rPr>
          <w:rFonts w:ascii="Century Schoolbook" w:hAnsi="Century Schoolbook" w:cstheme="majorBidi"/>
          <w:sz w:val="24"/>
          <w:szCs w:val="24"/>
        </w:rPr>
        <w:t>C</w:t>
      </w:r>
      <w:r w:rsidRPr="008E6084">
        <w:rPr>
          <w:rFonts w:ascii="Century Schoolbook" w:hAnsi="Century Schoolbook" w:cstheme="majorBidi"/>
          <w:sz w:val="24"/>
          <w:szCs w:val="24"/>
        </w:rPr>
        <w:t>ommunity consultation models have other well-documented uses as well – for addressing not only concerns about race or ethnicity, but questions of privacy, the use of societal resources, the extent of benefits the community can expect, and so forth.</w:t>
      </w:r>
    </w:p>
    <w:p w14:paraId="13D88581" w14:textId="7DDD8BA6" w:rsidR="00DE5497" w:rsidRPr="008E6084" w:rsidRDefault="00F028A2"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However</w:t>
      </w:r>
      <w:r w:rsidR="00DE5497" w:rsidRPr="008E6084">
        <w:rPr>
          <w:rFonts w:ascii="Century Schoolbook" w:hAnsi="Century Schoolbook" w:cstheme="majorBidi"/>
          <w:sz w:val="24"/>
          <w:szCs w:val="24"/>
        </w:rPr>
        <w:t>, community consultation remains insufficient</w:t>
      </w:r>
      <w:r w:rsidR="0069009F" w:rsidRPr="008E6084">
        <w:rPr>
          <w:rFonts w:ascii="Century Schoolbook" w:hAnsi="Century Schoolbook" w:cstheme="majorBidi"/>
          <w:sz w:val="24"/>
          <w:szCs w:val="24"/>
        </w:rPr>
        <w:t>,</w:t>
      </w:r>
      <w:r w:rsidR="00DE5497" w:rsidRPr="008E6084">
        <w:rPr>
          <w:rFonts w:ascii="Century Schoolbook" w:hAnsi="Century Schoolbook" w:cstheme="majorBidi"/>
          <w:sz w:val="24"/>
          <w:szCs w:val="24"/>
        </w:rPr>
        <w:t xml:space="preserve"> not least because the issue of “molecular reinscription of race” remain</w:t>
      </w:r>
      <w:r w:rsidR="0069009F" w:rsidRPr="008E6084">
        <w:rPr>
          <w:rFonts w:ascii="Century Schoolbook" w:hAnsi="Century Schoolbook" w:cstheme="majorBidi"/>
          <w:sz w:val="24"/>
          <w:szCs w:val="24"/>
        </w:rPr>
        <w:t>s</w:t>
      </w:r>
      <w:r w:rsidR="00DE5497" w:rsidRPr="008E6084">
        <w:rPr>
          <w:rFonts w:ascii="Century Schoolbook" w:hAnsi="Century Schoolbook" w:cstheme="majorBidi"/>
          <w:sz w:val="24"/>
          <w:szCs w:val="24"/>
        </w:rPr>
        <w:t>.</w:t>
      </w:r>
      <w:r w:rsidR="003B464F" w:rsidRPr="008E6084">
        <w:rPr>
          <w:rStyle w:val="FootnoteReference"/>
          <w:rFonts w:ascii="Century Schoolbook" w:hAnsi="Century Schoolbook" w:cstheme="majorBidi"/>
          <w:sz w:val="24"/>
          <w:szCs w:val="24"/>
        </w:rPr>
        <w:footnoteReference w:id="29"/>
      </w:r>
      <w:r w:rsidR="00DE5497" w:rsidRPr="008E6084">
        <w:rPr>
          <w:rFonts w:ascii="Century Schoolbook" w:hAnsi="Century Schoolbook" w:cstheme="majorBidi"/>
          <w:sz w:val="24"/>
          <w:szCs w:val="24"/>
        </w:rPr>
        <w:t xml:space="preserve">  Indeed, the International HapMap Project,</w:t>
      </w:r>
      <w:r w:rsidR="003B464F" w:rsidRPr="008E6084">
        <w:rPr>
          <w:rStyle w:val="FootnoteReference"/>
          <w:rFonts w:ascii="Century Schoolbook" w:hAnsi="Century Schoolbook" w:cstheme="majorBidi"/>
          <w:sz w:val="24"/>
          <w:szCs w:val="24"/>
        </w:rPr>
        <w:footnoteReference w:id="30"/>
      </w:r>
      <w:r w:rsidR="00DE5497" w:rsidRPr="008E6084">
        <w:rPr>
          <w:rFonts w:ascii="Century Schoolbook" w:hAnsi="Century Schoolbook" w:cstheme="majorBidi"/>
          <w:sz w:val="24"/>
          <w:szCs w:val="24"/>
        </w:rPr>
        <w:t xml:space="preserve"> </w:t>
      </w:r>
      <w:r w:rsidR="003B464F" w:rsidRPr="008E6084">
        <w:rPr>
          <w:rFonts w:ascii="Century Schoolbook" w:hAnsi="Century Schoolbook" w:cstheme="majorBidi"/>
          <w:sz w:val="24"/>
          <w:szCs w:val="24"/>
        </w:rPr>
        <w:t>conducted community engagements, asking potential subjects</w:t>
      </w:r>
      <w:r w:rsidR="00B60333" w:rsidRPr="008E6084">
        <w:rPr>
          <w:rFonts w:ascii="Century Schoolbook" w:hAnsi="Century Schoolbook" w:cstheme="majorBidi"/>
          <w:sz w:val="24"/>
          <w:szCs w:val="24"/>
        </w:rPr>
        <w:t xml:space="preserve"> what racial or ethnic descriptors they would like to be used.</w:t>
      </w:r>
      <w:r w:rsidR="00DE5497" w:rsidRPr="008E6084">
        <w:rPr>
          <w:rFonts w:ascii="Century Schoolbook" w:hAnsi="Century Schoolbook" w:cstheme="majorBidi"/>
          <w:sz w:val="24"/>
          <w:szCs w:val="24"/>
        </w:rPr>
        <w:t xml:space="preserve">  </w:t>
      </w:r>
      <w:r w:rsidR="003B464F" w:rsidRPr="008E6084">
        <w:rPr>
          <w:rFonts w:ascii="Century Schoolbook" w:hAnsi="Century Schoolbook" w:cstheme="majorBidi"/>
          <w:sz w:val="24"/>
          <w:szCs w:val="24"/>
        </w:rPr>
        <w:t xml:space="preserve">This contributed to the perception that the </w:t>
      </w:r>
      <w:r w:rsidR="00DE5497" w:rsidRPr="008E6084">
        <w:rPr>
          <w:rFonts w:ascii="Century Schoolbook" w:hAnsi="Century Schoolbook" w:cstheme="majorBidi"/>
          <w:sz w:val="24"/>
          <w:szCs w:val="24"/>
        </w:rPr>
        <w:t xml:space="preserve">Project </w:t>
      </w:r>
      <w:r w:rsidR="003B464F" w:rsidRPr="008E6084">
        <w:rPr>
          <w:rFonts w:ascii="Century Schoolbook" w:hAnsi="Century Schoolbook" w:cstheme="majorBidi"/>
          <w:sz w:val="24"/>
          <w:szCs w:val="24"/>
        </w:rPr>
        <w:t xml:space="preserve">was, among other things, seeking to understand the biological basis of race – </w:t>
      </w:r>
      <w:r w:rsidR="0069009F" w:rsidRPr="008E6084">
        <w:rPr>
          <w:rFonts w:ascii="Century Schoolbook" w:hAnsi="Century Schoolbook" w:cstheme="majorBidi"/>
          <w:sz w:val="24"/>
          <w:szCs w:val="24"/>
        </w:rPr>
        <w:t>and thereby</w:t>
      </w:r>
      <w:r w:rsidR="003B464F" w:rsidRPr="008E6084">
        <w:rPr>
          <w:rFonts w:ascii="Century Schoolbook" w:hAnsi="Century Schoolbook" w:cstheme="majorBidi"/>
          <w:sz w:val="24"/>
          <w:szCs w:val="24"/>
        </w:rPr>
        <w:t xml:space="preserve"> contributing to the biological reification of race</w:t>
      </w:r>
      <w:r w:rsidR="00DE5497" w:rsidRPr="008E6084">
        <w:rPr>
          <w:rFonts w:ascii="Century Schoolbook" w:hAnsi="Century Schoolbook" w:cstheme="majorBidi"/>
          <w:sz w:val="24"/>
          <w:szCs w:val="24"/>
        </w:rPr>
        <w:t>.</w:t>
      </w:r>
      <w:r w:rsidR="003B464F" w:rsidRPr="008E6084">
        <w:rPr>
          <w:rStyle w:val="FootnoteReference"/>
          <w:rFonts w:ascii="Century Schoolbook" w:hAnsi="Century Schoolbook" w:cstheme="majorBidi"/>
          <w:sz w:val="24"/>
          <w:szCs w:val="24"/>
        </w:rPr>
        <w:footnoteReference w:id="31"/>
      </w:r>
    </w:p>
    <w:p w14:paraId="1C29DC12" w14:textId="0D7247A0" w:rsidR="006F5D78" w:rsidRPr="008E6084" w:rsidRDefault="007C12A9"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These general social justice concerns about use of race and ethnicity, then, already pose a thorny problem for precision medicine programmes to tackle. In the next two sections, we will also highlight how these issues are complicated by intersections with two other </w:t>
      </w:r>
      <w:r w:rsidR="00CA2D8C" w:rsidRPr="008E6084">
        <w:rPr>
          <w:rFonts w:ascii="Century Schoolbook" w:hAnsi="Century Schoolbook" w:cstheme="majorBidi"/>
          <w:sz w:val="24"/>
          <w:szCs w:val="24"/>
        </w:rPr>
        <w:t xml:space="preserve">aspects </w:t>
      </w:r>
      <w:r w:rsidRPr="008E6084">
        <w:rPr>
          <w:rFonts w:ascii="Century Schoolbook" w:hAnsi="Century Schoolbook" w:cstheme="majorBidi"/>
          <w:sz w:val="24"/>
          <w:szCs w:val="24"/>
        </w:rPr>
        <w:t xml:space="preserve">of </w:t>
      </w:r>
      <w:proofErr w:type="gramStart"/>
      <w:r w:rsidRPr="008E6084">
        <w:rPr>
          <w:rFonts w:ascii="Century Schoolbook" w:hAnsi="Century Schoolbook" w:cstheme="majorBidi"/>
          <w:sz w:val="24"/>
          <w:szCs w:val="24"/>
        </w:rPr>
        <w:t>justice</w:t>
      </w:r>
      <w:r w:rsidR="009003DA" w:rsidRPr="008E6084">
        <w:rPr>
          <w:rFonts w:ascii="Century Schoolbook" w:hAnsi="Century Schoolbook" w:cstheme="majorBidi"/>
          <w:sz w:val="24"/>
          <w:szCs w:val="24"/>
        </w:rPr>
        <w:t>, and</w:t>
      </w:r>
      <w:proofErr w:type="gramEnd"/>
      <w:r w:rsidR="009003DA" w:rsidRPr="008E6084">
        <w:rPr>
          <w:rFonts w:ascii="Century Schoolbook" w:hAnsi="Century Schoolbook" w:cstheme="majorBidi"/>
          <w:sz w:val="24"/>
          <w:szCs w:val="24"/>
        </w:rPr>
        <w:t xml:space="preserve"> offer some tentative suggestions on how they might be resolved</w:t>
      </w:r>
      <w:r w:rsidRPr="008E6084">
        <w:rPr>
          <w:rFonts w:ascii="Century Schoolbook" w:hAnsi="Century Schoolbook" w:cstheme="majorBidi"/>
          <w:sz w:val="24"/>
          <w:szCs w:val="24"/>
        </w:rPr>
        <w:t>.</w:t>
      </w:r>
    </w:p>
    <w:p w14:paraId="281452B0" w14:textId="65DAFA05" w:rsidR="007C12A9" w:rsidRPr="008E6084" w:rsidRDefault="007C12A9" w:rsidP="006A3C89">
      <w:pPr>
        <w:pStyle w:val="ListParagraph"/>
        <w:numPr>
          <w:ilvl w:val="0"/>
          <w:numId w:val="2"/>
        </w:num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Distributive justice</w:t>
      </w:r>
    </w:p>
    <w:p w14:paraId="25481BDC" w14:textId="74328B41" w:rsidR="00715FE5" w:rsidRPr="008E6084" w:rsidRDefault="00715FE5"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While precision medicine is understandably focused on whether clinically effective interventions (whether preventive or curative) can be developed, several aspects of distributive justice have also been raised. </w:t>
      </w:r>
      <w:r w:rsidR="00577A0F" w:rsidRPr="008E6084">
        <w:rPr>
          <w:rFonts w:ascii="Century Schoolbook" w:hAnsi="Century Schoolbook" w:cstheme="majorBidi"/>
          <w:sz w:val="24"/>
          <w:szCs w:val="24"/>
        </w:rPr>
        <w:t>In particular, pressing concerns have been raised about which populations may be able to afford precision medicine innovations</w:t>
      </w:r>
      <w:r w:rsidR="003B1E6D" w:rsidRPr="008E6084">
        <w:rPr>
          <w:rFonts w:ascii="Century Schoolbook" w:hAnsi="Century Schoolbook" w:cstheme="majorBidi"/>
          <w:sz w:val="24"/>
          <w:szCs w:val="24"/>
        </w:rPr>
        <w:t>.</w:t>
      </w:r>
      <w:r w:rsidR="00283025" w:rsidRPr="008E6084">
        <w:rPr>
          <w:rStyle w:val="FootnoteReference"/>
          <w:rFonts w:ascii="Century Schoolbook" w:hAnsi="Century Schoolbook" w:cstheme="majorBidi"/>
          <w:sz w:val="24"/>
          <w:szCs w:val="24"/>
        </w:rPr>
        <w:footnoteReference w:id="32"/>
      </w:r>
      <w:r w:rsidR="00577A0F" w:rsidRPr="008E6084">
        <w:rPr>
          <w:rFonts w:ascii="Century Schoolbook" w:hAnsi="Century Schoolbook" w:cstheme="majorBidi"/>
          <w:sz w:val="24"/>
          <w:szCs w:val="24"/>
        </w:rPr>
        <w:t xml:space="preserve"> However, as the focus of this paper is on the involvement of </w:t>
      </w:r>
      <w:r w:rsidR="00012DE5" w:rsidRPr="008E6084">
        <w:rPr>
          <w:rFonts w:ascii="Century Schoolbook" w:hAnsi="Century Schoolbook" w:cstheme="majorBidi"/>
          <w:sz w:val="24"/>
          <w:szCs w:val="24"/>
        </w:rPr>
        <w:t>minority</w:t>
      </w:r>
      <w:r w:rsidR="00577A0F" w:rsidRPr="008E6084">
        <w:rPr>
          <w:rFonts w:ascii="Century Schoolbook" w:hAnsi="Century Schoolbook" w:cstheme="majorBidi"/>
          <w:sz w:val="24"/>
          <w:szCs w:val="24"/>
        </w:rPr>
        <w:t xml:space="preserve"> populations in precision medicine, we will instead examine the extent to which precision medicine innovations will in fact be applicable to a diverse range of individuals. </w:t>
      </w:r>
    </w:p>
    <w:p w14:paraId="0291A33E" w14:textId="30555CE0" w:rsidR="003B1E6D" w:rsidRPr="008E6084" w:rsidRDefault="003B1E6D"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lastRenderedPageBreak/>
        <w:t>Applicability</w:t>
      </w:r>
    </w:p>
    <w:p w14:paraId="63A07262" w14:textId="00D72337" w:rsidR="003B1E6D" w:rsidRPr="008E6084" w:rsidRDefault="00FC469B"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T</w:t>
      </w:r>
      <w:r w:rsidR="003B1E6D" w:rsidRPr="008E6084">
        <w:rPr>
          <w:rFonts w:ascii="Century Schoolbook" w:hAnsi="Century Schoolbook" w:cstheme="majorBidi"/>
          <w:sz w:val="24"/>
          <w:szCs w:val="24"/>
        </w:rPr>
        <w:t xml:space="preserve">he ‘targeting’ feature of precision medicine entails that any given intervention will primarily benefit one </w:t>
      </w:r>
      <w:proofErr w:type="gramStart"/>
      <w:r w:rsidR="003B1E6D" w:rsidRPr="008E6084">
        <w:rPr>
          <w:rFonts w:ascii="Century Schoolbook" w:hAnsi="Century Schoolbook" w:cstheme="majorBidi"/>
          <w:sz w:val="24"/>
          <w:szCs w:val="24"/>
        </w:rPr>
        <w:t>particular target</w:t>
      </w:r>
      <w:proofErr w:type="gramEnd"/>
      <w:r w:rsidR="003B1E6D" w:rsidRPr="008E6084">
        <w:rPr>
          <w:rFonts w:ascii="Century Schoolbook" w:hAnsi="Century Schoolbook" w:cstheme="majorBidi"/>
          <w:sz w:val="24"/>
          <w:szCs w:val="24"/>
        </w:rPr>
        <w:t xml:space="preserve"> group. For example, the finding that people with a certain genetic variant should not take a certain drug would benefit individuals with that profile. However, it would not particularly benefit those without the profile – and may </w:t>
      </w:r>
      <w:proofErr w:type="gramStart"/>
      <w:r w:rsidR="003B1E6D" w:rsidRPr="008E6084">
        <w:rPr>
          <w:rFonts w:ascii="Century Schoolbook" w:hAnsi="Century Schoolbook" w:cstheme="majorBidi"/>
          <w:sz w:val="24"/>
          <w:szCs w:val="24"/>
        </w:rPr>
        <w:t>actually burden</w:t>
      </w:r>
      <w:proofErr w:type="gramEnd"/>
      <w:r w:rsidR="003B1E6D" w:rsidRPr="008E6084">
        <w:rPr>
          <w:rFonts w:ascii="Century Schoolbook" w:hAnsi="Century Schoolbook" w:cstheme="majorBidi"/>
          <w:sz w:val="24"/>
          <w:szCs w:val="24"/>
        </w:rPr>
        <w:t xml:space="preserve"> them, if a genetic test to screen for the affected variant becomes routine prior to prescription of the drug.</w:t>
      </w:r>
    </w:p>
    <w:p w14:paraId="607F7B36" w14:textId="77777777" w:rsidR="00F348A1" w:rsidRPr="008E6084" w:rsidRDefault="003B1E6D"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This becomes particularly problematic from the perspective of distributive justice if precision medicine innovations are systematically more applicable</w:t>
      </w:r>
      <w:r w:rsidR="007B3673" w:rsidRPr="008E6084">
        <w:rPr>
          <w:rFonts w:ascii="Century Schoolbook" w:hAnsi="Century Schoolbook" w:cstheme="majorBidi"/>
          <w:sz w:val="24"/>
          <w:szCs w:val="24"/>
        </w:rPr>
        <w:t xml:space="preserve"> (and thus beneficial)</w:t>
      </w:r>
      <w:r w:rsidRPr="008E6084">
        <w:rPr>
          <w:rFonts w:ascii="Century Schoolbook" w:hAnsi="Century Schoolbook" w:cstheme="majorBidi"/>
          <w:sz w:val="24"/>
          <w:szCs w:val="24"/>
        </w:rPr>
        <w:t xml:space="preserve"> to some groups rather than others. </w:t>
      </w:r>
      <w:r w:rsidR="007B3673" w:rsidRPr="008E6084">
        <w:rPr>
          <w:rFonts w:ascii="Century Schoolbook" w:hAnsi="Century Schoolbook" w:cstheme="majorBidi"/>
          <w:sz w:val="24"/>
          <w:szCs w:val="24"/>
        </w:rPr>
        <w:t>And such appears to be the case. The data and tissue sources have predominantly come from Western countries, which results in findings of primarily relevance to those populations. As a result, international research has focused on genetic variants or environmental factors more frequent in those populations.</w:t>
      </w:r>
      <w:r w:rsidR="00283025" w:rsidRPr="008E6084">
        <w:rPr>
          <w:rStyle w:val="FootnoteReference"/>
          <w:rFonts w:ascii="Century Schoolbook" w:hAnsi="Century Schoolbook" w:cstheme="majorBidi"/>
          <w:sz w:val="24"/>
          <w:szCs w:val="24"/>
        </w:rPr>
        <w:footnoteReference w:id="33"/>
      </w:r>
      <w:r w:rsidR="007B3673" w:rsidRPr="008E6084">
        <w:rPr>
          <w:rFonts w:ascii="Century Schoolbook" w:hAnsi="Century Schoolbook" w:cstheme="majorBidi"/>
          <w:sz w:val="24"/>
          <w:szCs w:val="24"/>
        </w:rPr>
        <w:t xml:space="preserve"> </w:t>
      </w:r>
    </w:p>
    <w:p w14:paraId="5EDB7C43" w14:textId="5D6AAD19" w:rsidR="003B1E6D" w:rsidRPr="008E6084" w:rsidRDefault="007B3673"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Resultant innovations are thus less applicable to those whose data and tissue are less well captured. </w:t>
      </w:r>
      <w:r w:rsidR="00FA7B8B" w:rsidRPr="008E6084">
        <w:rPr>
          <w:rFonts w:ascii="Century Schoolbook" w:hAnsi="Century Schoolbook" w:cstheme="majorBidi"/>
          <w:sz w:val="24"/>
          <w:szCs w:val="24"/>
        </w:rPr>
        <w:t xml:space="preserve">For example, </w:t>
      </w:r>
      <w:r w:rsidR="00577A0F" w:rsidRPr="008E6084">
        <w:rPr>
          <w:rFonts w:ascii="Century Schoolbook" w:hAnsi="Century Schoolbook" w:cstheme="majorBidi"/>
          <w:sz w:val="24"/>
          <w:szCs w:val="24"/>
        </w:rPr>
        <w:t xml:space="preserve">a recent Singaporean genomic study of thousands of individuals of Chinese, Malay and Indian descent found that </w:t>
      </w:r>
      <w:r w:rsidR="004C5001" w:rsidRPr="008E6084">
        <w:rPr>
          <w:rFonts w:ascii="Century Schoolbook" w:hAnsi="Century Schoolbook" w:cstheme="majorBidi"/>
          <w:sz w:val="24"/>
          <w:szCs w:val="24"/>
        </w:rPr>
        <w:t xml:space="preserve">over </w:t>
      </w:r>
      <w:r w:rsidR="00577A0F" w:rsidRPr="008E6084">
        <w:rPr>
          <w:rFonts w:ascii="Century Schoolbook" w:hAnsi="Century Schoolbook" w:cstheme="majorBidi"/>
          <w:sz w:val="24"/>
          <w:szCs w:val="24"/>
        </w:rPr>
        <w:t xml:space="preserve">half of </w:t>
      </w:r>
      <w:r w:rsidR="004C5001" w:rsidRPr="008E6084">
        <w:rPr>
          <w:rFonts w:ascii="Century Schoolbook" w:hAnsi="Century Schoolbook" w:cstheme="majorBidi"/>
          <w:sz w:val="24"/>
          <w:szCs w:val="24"/>
        </w:rPr>
        <w:t>single nucleotide polymorphisms</w:t>
      </w:r>
      <w:r w:rsidR="00577A0F" w:rsidRPr="008E6084">
        <w:rPr>
          <w:rFonts w:ascii="Century Schoolbook" w:hAnsi="Century Schoolbook" w:cstheme="majorBidi"/>
          <w:sz w:val="24"/>
          <w:szCs w:val="24"/>
        </w:rPr>
        <w:t xml:space="preserve"> found in local genomes were completely absent from </w:t>
      </w:r>
      <w:r w:rsidR="004C5001" w:rsidRPr="008E6084">
        <w:rPr>
          <w:rFonts w:ascii="Century Schoolbook" w:hAnsi="Century Schoolbook" w:cstheme="majorBidi"/>
          <w:sz w:val="24"/>
          <w:szCs w:val="24"/>
        </w:rPr>
        <w:t xml:space="preserve">one of the world’s largest catalogue of genetic variants, </w:t>
      </w:r>
      <w:r w:rsidR="00577A0F" w:rsidRPr="008E6084">
        <w:rPr>
          <w:rFonts w:ascii="Century Schoolbook" w:hAnsi="Century Schoolbook" w:cstheme="majorBidi"/>
          <w:sz w:val="24"/>
          <w:szCs w:val="24"/>
        </w:rPr>
        <w:t>dbSNP</w:t>
      </w:r>
      <w:r w:rsidR="004C5001" w:rsidRPr="008E6084">
        <w:rPr>
          <w:rFonts w:ascii="Century Schoolbook" w:hAnsi="Century Schoolbook" w:cstheme="majorBidi"/>
          <w:sz w:val="24"/>
          <w:szCs w:val="24"/>
        </w:rPr>
        <w:t>.</w:t>
      </w:r>
      <w:r w:rsidR="004C5001" w:rsidRPr="008E6084">
        <w:rPr>
          <w:rStyle w:val="FootnoteReference"/>
          <w:rFonts w:ascii="Century Schoolbook" w:hAnsi="Century Schoolbook" w:cstheme="majorBidi"/>
          <w:sz w:val="24"/>
          <w:szCs w:val="24"/>
        </w:rPr>
        <w:footnoteReference w:id="34"/>
      </w:r>
      <w:r w:rsidR="000E2A13" w:rsidRPr="008E6084">
        <w:rPr>
          <w:rFonts w:ascii="Century Schoolbook" w:hAnsi="Century Schoolbook" w:cstheme="majorBidi"/>
          <w:sz w:val="24"/>
          <w:szCs w:val="24"/>
        </w:rPr>
        <w:t xml:space="preserve"> </w:t>
      </w:r>
      <w:r w:rsidR="004C5001" w:rsidRPr="008E6084">
        <w:rPr>
          <w:rFonts w:ascii="Century Schoolbook" w:hAnsi="Century Schoolbook" w:cstheme="majorBidi"/>
          <w:sz w:val="24"/>
          <w:szCs w:val="24"/>
        </w:rPr>
        <w:t>This absence would inhibit the generation of insights related to those variants, which would be of particular relevance to the underserved populations that possess them in disproportionate numbers.</w:t>
      </w:r>
      <w:r w:rsidR="00AD6339" w:rsidRPr="008E6084">
        <w:rPr>
          <w:rFonts w:ascii="Century Schoolbook" w:hAnsi="Century Schoolbook" w:cstheme="majorBidi"/>
          <w:sz w:val="24"/>
          <w:szCs w:val="24"/>
        </w:rPr>
        <w:t xml:space="preserve"> </w:t>
      </w:r>
    </w:p>
    <w:p w14:paraId="48BEA22A" w14:textId="68E33BD3" w:rsidR="00A7329A" w:rsidRPr="008E6084" w:rsidRDefault="00A7329A"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t>Remedies of diversification</w:t>
      </w:r>
    </w:p>
    <w:p w14:paraId="354B1D53" w14:textId="0676D709" w:rsidR="001458CE" w:rsidRPr="008E6084" w:rsidRDefault="00A7329A"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If the over-reliance on data and tissue from Western countries is indeed considered a problem of justice (or, if not, a problem of science), an obvious solution is to diversify datasets and tissue banks.</w:t>
      </w:r>
      <w:r w:rsidR="00283025" w:rsidRPr="008E6084">
        <w:rPr>
          <w:rFonts w:ascii="Century Schoolbook" w:hAnsi="Century Schoolbook" w:cstheme="majorBidi"/>
          <w:sz w:val="24"/>
          <w:szCs w:val="24"/>
        </w:rPr>
        <w:t xml:space="preserve"> </w:t>
      </w:r>
      <w:r w:rsidR="00DF5CBF" w:rsidRPr="008E6084">
        <w:rPr>
          <w:rFonts w:ascii="Century Schoolbook" w:hAnsi="Century Schoolbook" w:cstheme="majorBidi"/>
          <w:sz w:val="24"/>
          <w:szCs w:val="24"/>
        </w:rPr>
        <w:t>W</w:t>
      </w:r>
      <w:r w:rsidR="001458CE" w:rsidRPr="008E6084">
        <w:rPr>
          <w:rFonts w:ascii="Century Schoolbook" w:hAnsi="Century Schoolbook" w:cstheme="majorBidi"/>
          <w:sz w:val="24"/>
          <w:szCs w:val="24"/>
        </w:rPr>
        <w:t xml:space="preserve">hile </w:t>
      </w:r>
      <w:r w:rsidR="00860D83" w:rsidRPr="008E6084">
        <w:rPr>
          <w:rFonts w:ascii="Century Schoolbook" w:hAnsi="Century Schoolbook" w:cstheme="majorBidi"/>
          <w:sz w:val="24"/>
          <w:szCs w:val="24"/>
        </w:rPr>
        <w:t>considerable efforts are indeed underway in this regard</w:t>
      </w:r>
      <w:r w:rsidR="001458CE" w:rsidRPr="008E6084">
        <w:rPr>
          <w:rFonts w:ascii="Century Schoolbook" w:hAnsi="Century Schoolbook" w:cstheme="majorBidi"/>
          <w:sz w:val="24"/>
          <w:szCs w:val="24"/>
        </w:rPr>
        <w:t>,</w:t>
      </w:r>
      <w:r w:rsidR="00192F68" w:rsidRPr="008E6084">
        <w:rPr>
          <w:rStyle w:val="FootnoteReference"/>
          <w:rFonts w:ascii="Century Schoolbook" w:hAnsi="Century Schoolbook" w:cstheme="majorBidi"/>
          <w:sz w:val="24"/>
          <w:szCs w:val="24"/>
        </w:rPr>
        <w:footnoteReference w:id="35"/>
      </w:r>
      <w:r w:rsidR="00860D83" w:rsidRPr="008E6084">
        <w:rPr>
          <w:rFonts w:ascii="Century Schoolbook" w:hAnsi="Century Schoolbook" w:cstheme="majorBidi"/>
          <w:sz w:val="24"/>
          <w:szCs w:val="24"/>
        </w:rPr>
        <w:t xml:space="preserve"> consideration must be </w:t>
      </w:r>
      <w:r w:rsidR="00FD1669" w:rsidRPr="008E6084">
        <w:rPr>
          <w:rFonts w:ascii="Century Schoolbook" w:hAnsi="Century Schoolbook" w:cstheme="majorBidi"/>
          <w:sz w:val="24"/>
          <w:szCs w:val="24"/>
        </w:rPr>
        <w:t xml:space="preserve">given </w:t>
      </w:r>
      <w:r w:rsidR="00860D83" w:rsidRPr="008E6084">
        <w:rPr>
          <w:rFonts w:ascii="Century Schoolbook" w:hAnsi="Century Schoolbook" w:cstheme="majorBidi"/>
          <w:sz w:val="24"/>
          <w:szCs w:val="24"/>
        </w:rPr>
        <w:t xml:space="preserve">to potential tensions with social justice. </w:t>
      </w:r>
      <w:r w:rsidR="00F423F6" w:rsidRPr="008E6084">
        <w:rPr>
          <w:rFonts w:ascii="Century Schoolbook" w:hAnsi="Century Schoolbook" w:cstheme="majorBidi"/>
          <w:sz w:val="24"/>
          <w:szCs w:val="24"/>
        </w:rPr>
        <w:t xml:space="preserve">An emphasis on diversifying genetic datasets on racial or ethnic lines can reinforce the mistaken notion that </w:t>
      </w:r>
      <w:proofErr w:type="gramStart"/>
      <w:r w:rsidR="00F423F6" w:rsidRPr="008E6084">
        <w:rPr>
          <w:rFonts w:ascii="Century Schoolbook" w:hAnsi="Century Schoolbook" w:cstheme="majorBidi"/>
          <w:sz w:val="24"/>
          <w:szCs w:val="24"/>
        </w:rPr>
        <w:t>race</w:t>
      </w:r>
      <w:proofErr w:type="gramEnd"/>
      <w:r w:rsidR="00F423F6" w:rsidRPr="008E6084">
        <w:rPr>
          <w:rFonts w:ascii="Century Schoolbook" w:hAnsi="Century Schoolbook" w:cstheme="majorBidi"/>
          <w:sz w:val="24"/>
          <w:szCs w:val="24"/>
        </w:rPr>
        <w:t xml:space="preserve"> or ethnicity are biological in nature. This is </w:t>
      </w:r>
      <w:proofErr w:type="gramStart"/>
      <w:r w:rsidR="00F423F6" w:rsidRPr="008E6084">
        <w:rPr>
          <w:rFonts w:ascii="Century Schoolbook" w:hAnsi="Century Schoolbook" w:cstheme="majorBidi"/>
          <w:sz w:val="24"/>
          <w:szCs w:val="24"/>
        </w:rPr>
        <w:t>all the more</w:t>
      </w:r>
      <w:proofErr w:type="gramEnd"/>
      <w:r w:rsidR="00F423F6" w:rsidRPr="008E6084">
        <w:rPr>
          <w:rFonts w:ascii="Century Schoolbook" w:hAnsi="Century Schoolbook" w:cstheme="majorBidi"/>
          <w:sz w:val="24"/>
          <w:szCs w:val="24"/>
        </w:rPr>
        <w:t xml:space="preserve"> problematic when race and ethnicity are inconsistently interpreted between the self-reports of different individuals and societies, further weakening genetic associations with those categories.</w:t>
      </w:r>
      <w:r w:rsidR="009B6C71" w:rsidRPr="008E6084">
        <w:rPr>
          <w:rStyle w:val="FootnoteReference"/>
          <w:rFonts w:ascii="Century Schoolbook" w:hAnsi="Century Schoolbook" w:cstheme="majorBidi"/>
          <w:sz w:val="24"/>
          <w:szCs w:val="24"/>
        </w:rPr>
        <w:footnoteReference w:id="36"/>
      </w:r>
      <w:r w:rsidR="00F423F6" w:rsidRPr="008E6084">
        <w:rPr>
          <w:rFonts w:ascii="Century Schoolbook" w:hAnsi="Century Schoolbook" w:cstheme="majorBidi"/>
          <w:sz w:val="24"/>
          <w:szCs w:val="24"/>
        </w:rPr>
        <w:t xml:space="preserve">  </w:t>
      </w:r>
    </w:p>
    <w:p w14:paraId="2C835C21" w14:textId="52153D6A" w:rsidR="00860D83" w:rsidRPr="008E6084" w:rsidRDefault="00860D83"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lastRenderedPageBreak/>
        <w:t xml:space="preserve">A </w:t>
      </w:r>
      <w:r w:rsidR="00DF5CBF" w:rsidRPr="008E6084">
        <w:rPr>
          <w:rFonts w:ascii="Century Schoolbook" w:hAnsi="Century Schoolbook" w:cstheme="majorBidi"/>
          <w:sz w:val="24"/>
          <w:szCs w:val="24"/>
        </w:rPr>
        <w:t>firmer</w:t>
      </w:r>
      <w:r w:rsidRPr="008E6084">
        <w:rPr>
          <w:rFonts w:ascii="Century Schoolbook" w:hAnsi="Century Schoolbook" w:cstheme="majorBidi"/>
          <w:sz w:val="24"/>
          <w:szCs w:val="24"/>
        </w:rPr>
        <w:t xml:space="preserve"> resolution to these tensions </w:t>
      </w:r>
      <w:r w:rsidR="004E5049" w:rsidRPr="008E6084">
        <w:rPr>
          <w:rFonts w:ascii="Century Schoolbook" w:hAnsi="Century Schoolbook" w:cstheme="majorBidi"/>
          <w:sz w:val="24"/>
          <w:szCs w:val="24"/>
        </w:rPr>
        <w:t xml:space="preserve">would be to focus </w:t>
      </w:r>
      <w:r w:rsidRPr="008E6084">
        <w:rPr>
          <w:rFonts w:ascii="Century Schoolbook" w:hAnsi="Century Schoolbook" w:cstheme="majorBidi"/>
          <w:sz w:val="24"/>
          <w:szCs w:val="24"/>
        </w:rPr>
        <w:t xml:space="preserve">diversification not on race or ethnic background, but </w:t>
      </w:r>
      <w:r w:rsidR="004E5049" w:rsidRPr="008E6084">
        <w:rPr>
          <w:rFonts w:ascii="Century Schoolbook" w:hAnsi="Century Schoolbook" w:cstheme="majorBidi"/>
          <w:sz w:val="24"/>
          <w:szCs w:val="24"/>
        </w:rPr>
        <w:t xml:space="preserve">other factors like </w:t>
      </w:r>
      <w:r w:rsidRPr="008E6084">
        <w:rPr>
          <w:rFonts w:ascii="Century Schoolbook" w:hAnsi="Century Schoolbook" w:cstheme="majorBidi"/>
          <w:sz w:val="24"/>
          <w:szCs w:val="24"/>
        </w:rPr>
        <w:t>geographic origin of the samples. There are substantial geographic clustering effects in terms of genetics, environmental factors and other variables of relevance in precision medicine.</w:t>
      </w:r>
      <w:r w:rsidR="00B84B20" w:rsidRPr="008E6084">
        <w:rPr>
          <w:rStyle w:val="FootnoteReference"/>
          <w:rFonts w:ascii="Century Schoolbook" w:hAnsi="Century Schoolbook" w:cstheme="majorBidi"/>
          <w:sz w:val="24"/>
          <w:szCs w:val="24"/>
        </w:rPr>
        <w:footnoteReference w:id="37"/>
      </w:r>
      <w:r w:rsidRPr="008E6084">
        <w:rPr>
          <w:rFonts w:ascii="Century Schoolbook" w:hAnsi="Century Schoolbook" w:cstheme="majorBidi"/>
          <w:sz w:val="24"/>
          <w:szCs w:val="24"/>
        </w:rPr>
        <w:t xml:space="preserve"> </w:t>
      </w:r>
      <w:r w:rsidR="00DF5CBF" w:rsidRPr="008E6084">
        <w:rPr>
          <w:rFonts w:ascii="Century Schoolbook" w:hAnsi="Century Schoolbook" w:cstheme="majorBidi"/>
          <w:sz w:val="24"/>
          <w:szCs w:val="24"/>
        </w:rPr>
        <w:t>G</w:t>
      </w:r>
      <w:r w:rsidRPr="008E6084">
        <w:rPr>
          <w:rFonts w:ascii="Century Schoolbook" w:hAnsi="Century Schoolbook" w:cstheme="majorBidi"/>
          <w:sz w:val="24"/>
          <w:szCs w:val="24"/>
        </w:rPr>
        <w:t xml:space="preserve">eography does not come fraught with the same risk of biological reification that comes with the use of race/ethnicity – it is implausible that anyone would take such use to imply that geographic location is biological in nature. </w:t>
      </w:r>
    </w:p>
    <w:p w14:paraId="62FB580E" w14:textId="13E1EEA4" w:rsidR="00560096" w:rsidRPr="008E6084" w:rsidRDefault="00F40E11" w:rsidP="006A3C89">
      <w:pPr>
        <w:pStyle w:val="ListParagraph"/>
        <w:numPr>
          <w:ilvl w:val="0"/>
          <w:numId w:val="2"/>
        </w:num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The human right to benefit</w:t>
      </w:r>
      <w:r w:rsidR="009955FA" w:rsidRPr="008E6084">
        <w:rPr>
          <w:rFonts w:ascii="Century Schoolbook" w:hAnsi="Century Schoolbook" w:cstheme="majorBidi"/>
          <w:sz w:val="24"/>
          <w:szCs w:val="24"/>
        </w:rPr>
        <w:t xml:space="preserve"> from </w:t>
      </w:r>
      <w:r w:rsidR="00CA2D8C" w:rsidRPr="008E6084">
        <w:rPr>
          <w:rFonts w:ascii="Century Schoolbook" w:hAnsi="Century Schoolbook" w:cstheme="majorBidi"/>
          <w:sz w:val="24"/>
          <w:szCs w:val="24"/>
        </w:rPr>
        <w:t>science</w:t>
      </w:r>
    </w:p>
    <w:p w14:paraId="0C47E72A" w14:textId="0216177C" w:rsidR="00560096" w:rsidRPr="008E6084" w:rsidRDefault="00BE3A8B" w:rsidP="006A3C89">
      <w:pPr>
        <w:spacing w:line="276" w:lineRule="auto"/>
        <w:jc w:val="both"/>
        <w:rPr>
          <w:rFonts w:ascii="Century Schoolbook" w:hAnsi="Century Schoolbook" w:cstheme="majorBidi"/>
          <w:sz w:val="24"/>
          <w:szCs w:val="24"/>
        </w:rPr>
      </w:pPr>
      <w:r w:rsidRPr="008E6084">
        <w:rPr>
          <w:rFonts w:ascii="Century Schoolbook" w:hAnsi="Century Schoolbook" w:cstheme="majorBidi"/>
          <w:sz w:val="24"/>
          <w:szCs w:val="24"/>
        </w:rPr>
        <w:t xml:space="preserve">The language of human rights is powerful. It invokes universal claims or obligations that bind us all, irrespective of our </w:t>
      </w:r>
      <w:proofErr w:type="gramStart"/>
      <w:r w:rsidRPr="008E6084">
        <w:rPr>
          <w:rFonts w:ascii="Century Schoolbook" w:hAnsi="Century Schoolbook" w:cstheme="majorBidi"/>
          <w:sz w:val="24"/>
          <w:szCs w:val="24"/>
        </w:rPr>
        <w:t>particular norms</w:t>
      </w:r>
      <w:proofErr w:type="gramEnd"/>
      <w:r w:rsidRPr="008E6084">
        <w:rPr>
          <w:rFonts w:ascii="Century Schoolbook" w:hAnsi="Century Schoolbook" w:cstheme="majorBidi"/>
          <w:sz w:val="24"/>
          <w:szCs w:val="24"/>
        </w:rPr>
        <w:t xml:space="preserve"> or cultures, and eschews any notion of contingency. </w:t>
      </w:r>
      <w:r w:rsidR="00D84B20" w:rsidRPr="008E6084">
        <w:rPr>
          <w:rFonts w:ascii="Century Schoolbook" w:hAnsi="Century Schoolbook" w:cstheme="majorBidi"/>
          <w:sz w:val="24"/>
          <w:szCs w:val="24"/>
        </w:rPr>
        <w:t xml:space="preserve">Human rights </w:t>
      </w:r>
      <w:r w:rsidRPr="008E6084">
        <w:rPr>
          <w:rFonts w:ascii="Century Schoolbook" w:hAnsi="Century Schoolbook" w:cstheme="majorBidi"/>
          <w:sz w:val="24"/>
          <w:szCs w:val="24"/>
        </w:rPr>
        <w:t>also have a certain rhetorical force, especially when they are called ‘trumps’.</w:t>
      </w:r>
      <w:r w:rsidR="001C4B76" w:rsidRPr="008E6084">
        <w:rPr>
          <w:rStyle w:val="FootnoteReference"/>
          <w:rFonts w:ascii="Century Schoolbook" w:hAnsi="Century Schoolbook" w:cstheme="majorBidi"/>
          <w:sz w:val="24"/>
          <w:szCs w:val="24"/>
        </w:rPr>
        <w:footnoteReference w:id="38"/>
      </w:r>
      <w:r w:rsidRPr="008E6084">
        <w:rPr>
          <w:rFonts w:ascii="Century Schoolbook" w:hAnsi="Century Schoolbook" w:cstheme="majorBidi"/>
          <w:sz w:val="24"/>
          <w:szCs w:val="24"/>
        </w:rPr>
        <w:t xml:space="preserve"> This may not be strictly true – rights can and indeed must often be traded off against other considerations – but there is nevertheless the sense that, by classifying something as a right, it is given extra weight and seriousness.</w:t>
      </w:r>
    </w:p>
    <w:p w14:paraId="774289B4" w14:textId="6C906117" w:rsidR="00925540" w:rsidRPr="008E6084" w:rsidRDefault="00925540" w:rsidP="006A3C89">
      <w:pPr>
        <w:spacing w:line="276" w:lineRule="auto"/>
        <w:jc w:val="both"/>
        <w:rPr>
          <w:rFonts w:ascii="Century Schoolbook" w:hAnsi="Century Schoolbook" w:cstheme="majorBidi"/>
          <w:i/>
          <w:sz w:val="24"/>
          <w:szCs w:val="24"/>
        </w:rPr>
      </w:pPr>
      <w:r w:rsidRPr="008E6084">
        <w:rPr>
          <w:rFonts w:ascii="Century Schoolbook" w:hAnsi="Century Schoolbook" w:cstheme="majorBidi"/>
          <w:i/>
          <w:sz w:val="24"/>
          <w:szCs w:val="24"/>
        </w:rPr>
        <w:t>The right to benefit from science</w:t>
      </w:r>
    </w:p>
    <w:p w14:paraId="53D569CD" w14:textId="36F10CCD" w:rsidR="00BE3A8B" w:rsidRPr="008E6084" w:rsidRDefault="00BE3A8B" w:rsidP="006A3C89">
      <w:pPr>
        <w:spacing w:line="276" w:lineRule="auto"/>
        <w:jc w:val="both"/>
        <w:rPr>
          <w:rFonts w:ascii="Century Schoolbook" w:hAnsi="Century Schoolbook" w:cstheme="majorBidi"/>
          <w:sz w:val="24"/>
          <w:szCs w:val="24"/>
        </w:rPr>
      </w:pPr>
      <w:proofErr w:type="gramStart"/>
      <w:r w:rsidRPr="008E6084">
        <w:rPr>
          <w:rFonts w:ascii="Century Schoolbook" w:hAnsi="Century Schoolbook" w:cstheme="majorBidi"/>
          <w:sz w:val="24"/>
          <w:szCs w:val="24"/>
        </w:rPr>
        <w:t>A number of</w:t>
      </w:r>
      <w:proofErr w:type="gramEnd"/>
      <w:r w:rsidRPr="008E6084">
        <w:rPr>
          <w:rFonts w:ascii="Century Schoolbook" w:hAnsi="Century Schoolbook" w:cstheme="majorBidi"/>
          <w:sz w:val="24"/>
          <w:szCs w:val="24"/>
        </w:rPr>
        <w:t xml:space="preserve"> considerations in precision medicine could be recast as human rights, including privacy concerns as well as the other two </w:t>
      </w:r>
      <w:r w:rsidR="00D84B20" w:rsidRPr="008E6084">
        <w:rPr>
          <w:rFonts w:ascii="Century Schoolbook" w:hAnsi="Century Schoolbook" w:cstheme="majorBidi"/>
          <w:sz w:val="24"/>
          <w:szCs w:val="24"/>
        </w:rPr>
        <w:t xml:space="preserve">aspects </w:t>
      </w:r>
      <w:r w:rsidRPr="008E6084">
        <w:rPr>
          <w:rFonts w:ascii="Century Schoolbook" w:hAnsi="Century Schoolbook" w:cstheme="majorBidi"/>
          <w:sz w:val="24"/>
          <w:szCs w:val="24"/>
        </w:rPr>
        <w:t>of justice described here. But a particularly novel and important application has recently been raised: the right to benefit from science. This right has been argued to have implications for data sharing regimes in the development of precision medicine.</w:t>
      </w:r>
    </w:p>
    <w:p w14:paraId="0F590FB4" w14:textId="7F5B9910" w:rsidR="00BE3A8B" w:rsidRPr="008E6084" w:rsidRDefault="00BE3A8B"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rPr>
        <w:t>The right to benefit from science appeared in the 1948 progenitor of modern human rights discourse, the Universal Declaration of Human Rights. There, it was characterized in Article 27 as follows: “</w:t>
      </w:r>
      <w:r w:rsidR="00FC341C" w:rsidRPr="008E6084">
        <w:rPr>
          <w:rFonts w:ascii="Century Schoolbook" w:hAnsi="Century Schoolbook" w:cstheme="majorBidi"/>
          <w:sz w:val="24"/>
          <w:szCs w:val="24"/>
          <w:shd w:val="clear" w:color="auto" w:fill="FFFFFF"/>
        </w:rPr>
        <w:t>Everyone has the right freely to participate in the cultural life of the community, to enjoy the arts and to share in scientific advancement and its benefits</w:t>
      </w:r>
      <w:r w:rsidRPr="008E6084">
        <w:rPr>
          <w:rFonts w:ascii="Century Schoolbook" w:hAnsi="Century Schoolbook" w:cstheme="majorBidi"/>
          <w:sz w:val="24"/>
          <w:szCs w:val="24"/>
          <w:shd w:val="clear" w:color="auto" w:fill="FFFFFF"/>
        </w:rPr>
        <w:t>.”</w:t>
      </w:r>
      <w:r w:rsidR="001C4B76" w:rsidRPr="008E6084">
        <w:rPr>
          <w:rStyle w:val="FootnoteReference"/>
          <w:rFonts w:ascii="Century Schoolbook" w:hAnsi="Century Schoolbook" w:cstheme="majorBidi"/>
          <w:sz w:val="24"/>
          <w:szCs w:val="24"/>
          <w:shd w:val="clear" w:color="auto" w:fill="FFFFFF"/>
        </w:rPr>
        <w:footnoteReference w:id="39"/>
      </w:r>
      <w:r w:rsidRPr="008E6084">
        <w:rPr>
          <w:rFonts w:ascii="Century Schoolbook" w:hAnsi="Century Schoolbook" w:cstheme="majorBidi"/>
          <w:sz w:val="24"/>
          <w:szCs w:val="24"/>
          <w:shd w:val="clear" w:color="auto" w:fill="FFFFFF"/>
        </w:rPr>
        <w:t xml:space="preserve"> </w:t>
      </w:r>
      <w:r w:rsidR="00FC341C" w:rsidRPr="008E6084">
        <w:rPr>
          <w:rFonts w:ascii="Century Schoolbook" w:hAnsi="Century Schoolbook" w:cstheme="majorBidi"/>
          <w:sz w:val="24"/>
          <w:szCs w:val="24"/>
          <w:shd w:val="clear" w:color="auto" w:fill="FFFFFF"/>
        </w:rPr>
        <w:t xml:space="preserve">This was reiterated in Article 15 of the </w:t>
      </w:r>
      <w:r w:rsidRPr="008E6084">
        <w:rPr>
          <w:rFonts w:ascii="Century Schoolbook" w:hAnsi="Century Schoolbook" w:cstheme="majorBidi"/>
          <w:sz w:val="24"/>
          <w:szCs w:val="24"/>
          <w:shd w:val="clear" w:color="auto" w:fill="FFFFFF"/>
        </w:rPr>
        <w:t>1966 International Covenant on Economic, Social and Cultural Rights</w:t>
      </w:r>
      <w:r w:rsidR="00FC341C" w:rsidRPr="008E6084">
        <w:rPr>
          <w:rFonts w:ascii="Century Schoolbook" w:hAnsi="Century Schoolbook" w:cstheme="majorBidi"/>
          <w:sz w:val="24"/>
          <w:szCs w:val="24"/>
          <w:shd w:val="clear" w:color="auto" w:fill="FFFFFF"/>
        </w:rPr>
        <w:t>,</w:t>
      </w:r>
      <w:r w:rsidR="001C25F0" w:rsidRPr="008E6084">
        <w:rPr>
          <w:rStyle w:val="FootnoteReference"/>
          <w:rFonts w:ascii="Century Schoolbook" w:hAnsi="Century Schoolbook" w:cstheme="majorBidi"/>
          <w:sz w:val="24"/>
          <w:szCs w:val="24"/>
          <w:shd w:val="clear" w:color="auto" w:fill="FFFFFF"/>
        </w:rPr>
        <w:footnoteReference w:id="40"/>
      </w:r>
      <w:r w:rsidR="00087D91" w:rsidRPr="008E6084">
        <w:rPr>
          <w:rFonts w:ascii="Century Schoolbook" w:hAnsi="Century Schoolbook" w:cstheme="majorBidi"/>
          <w:sz w:val="24"/>
          <w:szCs w:val="24"/>
          <w:shd w:val="clear" w:color="auto" w:fill="FFFFFF"/>
        </w:rPr>
        <w:t xml:space="preserve"> </w:t>
      </w:r>
      <w:r w:rsidR="00FC341C" w:rsidRPr="008E6084">
        <w:rPr>
          <w:rFonts w:ascii="Century Schoolbook" w:hAnsi="Century Schoolbook" w:cstheme="majorBidi"/>
          <w:sz w:val="24"/>
          <w:szCs w:val="24"/>
          <w:shd w:val="clear" w:color="auto" w:fill="FFFFFF"/>
        </w:rPr>
        <w:t>a multilateral treaty that has legal force amongst all 169 parties.</w:t>
      </w:r>
    </w:p>
    <w:p w14:paraId="0960CB61" w14:textId="71DF5C1E" w:rsidR="00B711AE" w:rsidRPr="008E6084" w:rsidRDefault="00087D91"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We will not attempt to adjudicate the legal standing in international law, as our interest here is on ethics not legal matters. </w:t>
      </w:r>
      <w:r w:rsidR="00FC469B" w:rsidRPr="008E6084">
        <w:rPr>
          <w:rFonts w:ascii="Century Schoolbook" w:hAnsi="Century Schoolbook" w:cstheme="majorBidi"/>
          <w:sz w:val="24"/>
          <w:szCs w:val="24"/>
          <w:shd w:val="clear" w:color="auto" w:fill="FFFFFF"/>
        </w:rPr>
        <w:t xml:space="preserve">Indeed, </w:t>
      </w:r>
      <w:r w:rsidR="00FC341C" w:rsidRPr="008E6084">
        <w:rPr>
          <w:rFonts w:ascii="Century Schoolbook" w:hAnsi="Century Schoolbook" w:cstheme="majorBidi"/>
          <w:sz w:val="24"/>
          <w:szCs w:val="24"/>
          <w:shd w:val="clear" w:color="auto" w:fill="FFFFFF"/>
        </w:rPr>
        <w:t>t</w:t>
      </w:r>
      <w:r w:rsidRPr="008E6084">
        <w:rPr>
          <w:rFonts w:ascii="Century Schoolbook" w:hAnsi="Century Schoolbook" w:cstheme="majorBidi"/>
          <w:sz w:val="24"/>
          <w:szCs w:val="24"/>
          <w:shd w:val="clear" w:color="auto" w:fill="FFFFFF"/>
        </w:rPr>
        <w:t xml:space="preserve">he normative reasoning behind </w:t>
      </w:r>
      <w:r w:rsidR="001C25F0" w:rsidRPr="008E6084">
        <w:rPr>
          <w:rFonts w:ascii="Century Schoolbook" w:hAnsi="Century Schoolbook" w:cstheme="majorBidi"/>
          <w:sz w:val="24"/>
          <w:szCs w:val="24"/>
          <w:shd w:val="clear" w:color="auto" w:fill="FFFFFF"/>
        </w:rPr>
        <w:t>these declarations</w:t>
      </w:r>
      <w:r w:rsidRPr="008E6084">
        <w:rPr>
          <w:rFonts w:ascii="Century Schoolbook" w:hAnsi="Century Schoolbook" w:cstheme="majorBidi"/>
          <w:sz w:val="24"/>
          <w:szCs w:val="24"/>
          <w:shd w:val="clear" w:color="auto" w:fill="FFFFFF"/>
        </w:rPr>
        <w:t xml:space="preserve"> is worth taking seriously. </w:t>
      </w:r>
      <w:r w:rsidR="00FC341C" w:rsidRPr="008E6084">
        <w:rPr>
          <w:rFonts w:ascii="Century Schoolbook" w:hAnsi="Century Schoolbook" w:cstheme="majorBidi"/>
          <w:sz w:val="24"/>
          <w:szCs w:val="24"/>
          <w:shd w:val="clear" w:color="auto" w:fill="FFFFFF"/>
        </w:rPr>
        <w:t xml:space="preserve">A </w:t>
      </w:r>
      <w:r w:rsidRPr="008E6084">
        <w:rPr>
          <w:rFonts w:ascii="Century Schoolbook" w:hAnsi="Century Schoolbook" w:cstheme="majorBidi"/>
          <w:sz w:val="24"/>
          <w:szCs w:val="24"/>
          <w:shd w:val="clear" w:color="auto" w:fill="FFFFFF"/>
        </w:rPr>
        <w:t>1947</w:t>
      </w:r>
      <w:r w:rsidR="00B711AE" w:rsidRPr="008E6084">
        <w:rPr>
          <w:rFonts w:ascii="Century Schoolbook" w:hAnsi="Century Schoolbook" w:cstheme="majorBidi"/>
          <w:sz w:val="24"/>
          <w:szCs w:val="24"/>
          <w:shd w:val="clear" w:color="auto" w:fill="FFFFFF"/>
        </w:rPr>
        <w:t xml:space="preserve"> committee report </w:t>
      </w:r>
      <w:r w:rsidR="00FC341C" w:rsidRPr="008E6084">
        <w:rPr>
          <w:rFonts w:ascii="Century Schoolbook" w:hAnsi="Century Schoolbook" w:cstheme="majorBidi"/>
          <w:sz w:val="24"/>
          <w:szCs w:val="24"/>
          <w:shd w:val="clear" w:color="auto" w:fill="FFFFFF"/>
        </w:rPr>
        <w:t xml:space="preserve">for the Universal Declaration </w:t>
      </w:r>
      <w:r w:rsidR="00B711AE" w:rsidRPr="008E6084">
        <w:rPr>
          <w:rFonts w:ascii="Century Schoolbook" w:hAnsi="Century Schoolbook" w:cstheme="majorBidi"/>
          <w:sz w:val="24"/>
          <w:szCs w:val="24"/>
          <w:shd w:val="clear" w:color="auto" w:fill="FFFFFF"/>
        </w:rPr>
        <w:t xml:space="preserve">characterises the right to benefit from science as continuous with other positive rights like the right to education and health: everyone has a claim to a share in the provision of these goods, understanding that </w:t>
      </w:r>
      <w:r w:rsidR="00B711AE" w:rsidRPr="008E6084">
        <w:rPr>
          <w:rFonts w:ascii="Century Schoolbook" w:hAnsi="Century Schoolbook" w:cstheme="majorBidi"/>
          <w:sz w:val="24"/>
          <w:szCs w:val="24"/>
          <w:shd w:val="clear" w:color="auto" w:fill="FFFFFF"/>
        </w:rPr>
        <w:lastRenderedPageBreak/>
        <w:t>as societies advance people’s share will grow as the goods increase and multiply.</w:t>
      </w:r>
      <w:r w:rsidR="001C25F0" w:rsidRPr="008E6084">
        <w:rPr>
          <w:rStyle w:val="FootnoteReference"/>
          <w:rFonts w:ascii="Century Schoolbook" w:hAnsi="Century Schoolbook" w:cstheme="majorBidi"/>
          <w:sz w:val="24"/>
          <w:szCs w:val="24"/>
          <w:shd w:val="clear" w:color="auto" w:fill="FFFFFF"/>
        </w:rPr>
        <w:footnoteReference w:id="41"/>
      </w:r>
      <w:r w:rsidR="00B711AE" w:rsidRPr="008E6084">
        <w:rPr>
          <w:rFonts w:ascii="Century Schoolbook" w:hAnsi="Century Schoolbook" w:cstheme="majorBidi"/>
          <w:sz w:val="24"/>
          <w:szCs w:val="24"/>
          <w:shd w:val="clear" w:color="auto" w:fill="FFFFFF"/>
        </w:rPr>
        <w:t xml:space="preserve"> But the right is not merely post-hoc, taking scientific advances as they are and ensuring the fruits are well distributed; it also encompasses people’s claim against their governments for such advances to be made in the first place. So, in the more recent 2009 UNESCO ‘Venice statement’ includes state obligations to “promote the development and diffusion of science and technology.”</w:t>
      </w:r>
      <w:r w:rsidR="001C25F0" w:rsidRPr="008E6084">
        <w:rPr>
          <w:rStyle w:val="FootnoteReference"/>
          <w:rFonts w:ascii="Century Schoolbook" w:hAnsi="Century Schoolbook" w:cstheme="majorBidi"/>
          <w:sz w:val="24"/>
          <w:szCs w:val="24"/>
          <w:shd w:val="clear" w:color="auto" w:fill="FFFFFF"/>
        </w:rPr>
        <w:footnoteReference w:id="42"/>
      </w:r>
    </w:p>
    <w:p w14:paraId="6252FA59" w14:textId="40BF5B1A" w:rsidR="00817175" w:rsidRPr="008E6084" w:rsidRDefault="00817175" w:rsidP="006A3C89">
      <w:pPr>
        <w:spacing w:line="276" w:lineRule="auto"/>
        <w:jc w:val="both"/>
        <w:rPr>
          <w:rFonts w:ascii="Century Schoolbook" w:hAnsi="Century Schoolbook" w:cstheme="majorBidi"/>
          <w:i/>
          <w:sz w:val="24"/>
          <w:szCs w:val="24"/>
          <w:shd w:val="clear" w:color="auto" w:fill="FFFFFF"/>
        </w:rPr>
      </w:pPr>
      <w:r w:rsidRPr="008E6084">
        <w:rPr>
          <w:rFonts w:ascii="Century Schoolbook" w:hAnsi="Century Schoolbook" w:cstheme="majorBidi"/>
          <w:i/>
          <w:sz w:val="24"/>
          <w:szCs w:val="24"/>
          <w:shd w:val="clear" w:color="auto" w:fill="FFFFFF"/>
        </w:rPr>
        <w:t>The right to sharing</w:t>
      </w:r>
      <w:r w:rsidR="00012DE5" w:rsidRPr="008E6084">
        <w:rPr>
          <w:rFonts w:ascii="Century Schoolbook" w:hAnsi="Century Schoolbook" w:cstheme="majorBidi"/>
          <w:i/>
          <w:sz w:val="24"/>
          <w:szCs w:val="24"/>
          <w:shd w:val="clear" w:color="auto" w:fill="FFFFFF"/>
        </w:rPr>
        <w:t xml:space="preserve"> and informed refusal</w:t>
      </w:r>
    </w:p>
    <w:p w14:paraId="623B8B18" w14:textId="1FAC45EC" w:rsidR="00D44CB0" w:rsidRPr="008E6084" w:rsidRDefault="00B711AE"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As already observed, diffusion (of data and tissue) is indeed crucial to the development of precision medicine. </w:t>
      </w:r>
      <w:r w:rsidR="00D44CB0" w:rsidRPr="008E6084">
        <w:rPr>
          <w:rFonts w:ascii="Century Schoolbook" w:hAnsi="Century Schoolbook" w:cstheme="majorBidi"/>
          <w:sz w:val="24"/>
          <w:szCs w:val="24"/>
          <w:shd w:val="clear" w:color="auto" w:fill="FFFFFF"/>
        </w:rPr>
        <w:t xml:space="preserve">This, in conjunction with the right to benefit, has recently been taken by </w:t>
      </w:r>
      <w:r w:rsidR="001C25F0" w:rsidRPr="008E6084">
        <w:rPr>
          <w:rFonts w:ascii="Century Schoolbook" w:hAnsi="Century Schoolbook" w:cstheme="majorBidi"/>
          <w:sz w:val="24"/>
          <w:szCs w:val="24"/>
          <w:shd w:val="clear" w:color="auto" w:fill="FFFFFF"/>
        </w:rPr>
        <w:t xml:space="preserve">Bartha </w:t>
      </w:r>
      <w:r w:rsidR="00D44CB0" w:rsidRPr="008E6084">
        <w:rPr>
          <w:rFonts w:ascii="Century Schoolbook" w:hAnsi="Century Schoolbook" w:cstheme="majorBidi"/>
          <w:sz w:val="24"/>
          <w:szCs w:val="24"/>
          <w:shd w:val="clear" w:color="auto" w:fill="FFFFFF"/>
        </w:rPr>
        <w:t>Knoppers and others (and adopted by the Global Alliance for Genomic Health)</w:t>
      </w:r>
      <w:r w:rsidR="0014380E" w:rsidRPr="008E6084">
        <w:rPr>
          <w:rStyle w:val="FootnoteReference"/>
          <w:rFonts w:ascii="Century Schoolbook" w:hAnsi="Century Schoolbook" w:cstheme="majorBidi"/>
          <w:sz w:val="24"/>
          <w:szCs w:val="24"/>
          <w:shd w:val="clear" w:color="auto" w:fill="FFFFFF"/>
        </w:rPr>
        <w:footnoteReference w:id="43"/>
      </w:r>
      <w:r w:rsidR="00D44CB0" w:rsidRPr="008E6084">
        <w:rPr>
          <w:rFonts w:ascii="Century Schoolbook" w:hAnsi="Century Schoolbook" w:cstheme="majorBidi"/>
          <w:sz w:val="24"/>
          <w:szCs w:val="24"/>
          <w:shd w:val="clear" w:color="auto" w:fill="FFFFFF"/>
        </w:rPr>
        <w:t xml:space="preserve"> to imply “</w:t>
      </w:r>
      <w:r w:rsidR="00D44CB0" w:rsidRPr="008E6084">
        <w:rPr>
          <w:rFonts w:ascii="Century Schoolbook" w:hAnsi="Century Schoolbook" w:cstheme="majorBidi"/>
          <w:sz w:val="24"/>
          <w:szCs w:val="24"/>
        </w:rPr>
        <w:t>the right to access and share genomic and clinical data across the translation continuum, from basic research through practical, material application (e.g. diagnostics and therapeutics)</w:t>
      </w:r>
      <w:r w:rsidR="00D44CB0" w:rsidRPr="008E6084">
        <w:rPr>
          <w:rFonts w:ascii="Century Schoolbook" w:hAnsi="Century Schoolbook" w:cstheme="majorBidi"/>
          <w:sz w:val="24"/>
          <w:szCs w:val="24"/>
          <w:shd w:val="clear" w:color="auto" w:fill="FFFFFF"/>
        </w:rPr>
        <w:t>.”</w:t>
      </w:r>
      <w:r w:rsidR="009A4CAD" w:rsidRPr="008E6084">
        <w:rPr>
          <w:rStyle w:val="FootnoteReference"/>
          <w:rFonts w:ascii="Century Schoolbook" w:hAnsi="Century Schoolbook" w:cstheme="majorBidi"/>
          <w:sz w:val="24"/>
          <w:szCs w:val="24"/>
          <w:shd w:val="clear" w:color="auto" w:fill="FFFFFF"/>
        </w:rPr>
        <w:footnoteReference w:id="44"/>
      </w:r>
      <w:r w:rsidR="00D44CB0" w:rsidRPr="008E6084">
        <w:rPr>
          <w:rFonts w:ascii="Century Schoolbook" w:hAnsi="Century Schoolbook" w:cstheme="majorBidi"/>
          <w:sz w:val="24"/>
          <w:szCs w:val="24"/>
          <w:shd w:val="clear" w:color="auto" w:fill="FFFFFF"/>
        </w:rPr>
        <w:t xml:space="preserve"> </w:t>
      </w:r>
      <w:r w:rsidR="009A4CAD" w:rsidRPr="008E6084">
        <w:rPr>
          <w:rFonts w:ascii="Century Schoolbook" w:hAnsi="Century Schoolbook" w:cstheme="majorBidi"/>
          <w:sz w:val="24"/>
          <w:szCs w:val="24"/>
          <w:shd w:val="clear" w:color="auto" w:fill="FFFFFF"/>
        </w:rPr>
        <w:t>Emphasising this under-appreciated human right</w:t>
      </w:r>
      <w:r w:rsidR="00D44CB0" w:rsidRPr="008E6084">
        <w:rPr>
          <w:rFonts w:ascii="Century Schoolbook" w:hAnsi="Century Schoolbook" w:cstheme="majorBidi"/>
          <w:sz w:val="24"/>
          <w:szCs w:val="24"/>
          <w:shd w:val="clear" w:color="auto" w:fill="FFFFFF"/>
        </w:rPr>
        <w:t xml:space="preserve"> </w:t>
      </w:r>
      <w:r w:rsidR="009A4CAD" w:rsidRPr="008E6084">
        <w:rPr>
          <w:rFonts w:ascii="Century Schoolbook" w:hAnsi="Century Schoolbook" w:cstheme="majorBidi"/>
          <w:sz w:val="24"/>
          <w:szCs w:val="24"/>
          <w:shd w:val="clear" w:color="auto" w:fill="FFFFFF"/>
        </w:rPr>
        <w:t>serves</w:t>
      </w:r>
      <w:r w:rsidR="00D44CB0" w:rsidRPr="008E6084">
        <w:rPr>
          <w:rFonts w:ascii="Century Schoolbook" w:hAnsi="Century Schoolbook" w:cstheme="majorBidi"/>
          <w:sz w:val="24"/>
          <w:szCs w:val="24"/>
          <w:shd w:val="clear" w:color="auto" w:fill="FFFFFF"/>
        </w:rPr>
        <w:t xml:space="preserve"> </w:t>
      </w:r>
      <w:r w:rsidR="00012DE5" w:rsidRPr="008E6084">
        <w:rPr>
          <w:rFonts w:ascii="Century Schoolbook" w:hAnsi="Century Schoolbook" w:cstheme="majorBidi"/>
          <w:sz w:val="24"/>
          <w:szCs w:val="24"/>
          <w:shd w:val="clear" w:color="auto" w:fill="FFFFFF"/>
        </w:rPr>
        <w:t xml:space="preserve">to provide a balance in situations </w:t>
      </w:r>
      <w:r w:rsidR="00D44CB0" w:rsidRPr="008E6084">
        <w:rPr>
          <w:rFonts w:ascii="Century Schoolbook" w:hAnsi="Century Schoolbook" w:cstheme="majorBidi"/>
          <w:sz w:val="24"/>
          <w:szCs w:val="24"/>
          <w:shd w:val="clear" w:color="auto" w:fill="FFFFFF"/>
        </w:rPr>
        <w:t>where rights to privacy and ownership would militate against sharing.</w:t>
      </w:r>
    </w:p>
    <w:p w14:paraId="105F4228" w14:textId="7DC8AF77" w:rsidR="00D44CB0" w:rsidRPr="008E6084" w:rsidRDefault="00012DE5" w:rsidP="006A3C89">
      <w:pPr>
        <w:spacing w:after="0" w:line="276" w:lineRule="auto"/>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lang w:eastAsia="zh-TW"/>
        </w:rPr>
        <w:t>Equally important, however, is the consideration of “the need to institutionalize informed refusal rather than leave it to already vulnerable individuals to question those in authority” articulated by Ruha Benjamin.</w:t>
      </w:r>
      <w:r w:rsidRPr="008E6084">
        <w:rPr>
          <w:rStyle w:val="FootnoteReference"/>
          <w:rFonts w:ascii="Century Schoolbook" w:hAnsi="Century Schoolbook" w:cstheme="majorBidi"/>
          <w:sz w:val="24"/>
          <w:szCs w:val="24"/>
          <w:shd w:val="clear" w:color="auto" w:fill="FFFFFF"/>
          <w:lang w:eastAsia="zh-TW"/>
        </w:rPr>
        <w:footnoteReference w:id="45"/>
      </w:r>
      <w:r w:rsidRPr="008E6084">
        <w:rPr>
          <w:rFonts w:ascii="Century Schoolbook" w:hAnsi="Century Schoolbook" w:cstheme="majorBidi"/>
          <w:sz w:val="24"/>
          <w:szCs w:val="24"/>
          <w:shd w:val="clear" w:color="auto" w:fill="FFFFFF"/>
          <w:lang w:eastAsia="zh-TW"/>
        </w:rPr>
        <w:t xml:space="preserve"> In addition, </w:t>
      </w:r>
      <w:r w:rsidRPr="008E6084">
        <w:rPr>
          <w:rFonts w:ascii="Century Schoolbook" w:hAnsi="Century Schoolbook" w:cstheme="majorBidi"/>
          <w:sz w:val="24"/>
          <w:szCs w:val="24"/>
          <w:shd w:val="clear" w:color="auto" w:fill="FFFFFF"/>
        </w:rPr>
        <w:t>w</w:t>
      </w:r>
      <w:r w:rsidR="007478EC" w:rsidRPr="008E6084">
        <w:rPr>
          <w:rFonts w:ascii="Century Schoolbook" w:hAnsi="Century Schoolbook" w:cstheme="majorBidi"/>
          <w:sz w:val="24"/>
          <w:szCs w:val="24"/>
          <w:shd w:val="clear" w:color="auto" w:fill="FFFFFF"/>
        </w:rPr>
        <w:t>e must carefully distinguish</w:t>
      </w:r>
      <w:r w:rsidR="00D44CB0" w:rsidRPr="008E6084">
        <w:rPr>
          <w:rFonts w:ascii="Century Schoolbook" w:hAnsi="Century Schoolbook" w:cstheme="majorBidi"/>
          <w:sz w:val="24"/>
          <w:szCs w:val="24"/>
          <w:shd w:val="clear" w:color="auto" w:fill="FFFFFF"/>
        </w:rPr>
        <w:t xml:space="preserve"> the idea of ‘the right to benefit from science’ and the right for scientifically relevant resources like data to be shared widely. The latter only follows from the former if such sharing will truly be of </w:t>
      </w:r>
      <w:r w:rsidR="007478EC" w:rsidRPr="008E6084">
        <w:rPr>
          <w:rFonts w:ascii="Century Schoolbook" w:hAnsi="Century Schoolbook" w:cstheme="majorBidi"/>
          <w:sz w:val="24"/>
          <w:szCs w:val="24"/>
          <w:shd w:val="clear" w:color="auto" w:fill="FFFFFF"/>
        </w:rPr>
        <w:t xml:space="preserve">great </w:t>
      </w:r>
      <w:r w:rsidR="00D44CB0" w:rsidRPr="008E6084">
        <w:rPr>
          <w:rFonts w:ascii="Century Schoolbook" w:hAnsi="Century Schoolbook" w:cstheme="majorBidi"/>
          <w:sz w:val="24"/>
          <w:szCs w:val="24"/>
          <w:shd w:val="clear" w:color="auto" w:fill="FFFFFF"/>
        </w:rPr>
        <w:t xml:space="preserve">societal </w:t>
      </w:r>
      <w:r w:rsidR="007478EC" w:rsidRPr="008E6084">
        <w:rPr>
          <w:rFonts w:ascii="Century Schoolbook" w:hAnsi="Century Schoolbook" w:cstheme="majorBidi"/>
          <w:sz w:val="24"/>
          <w:szCs w:val="24"/>
          <w:shd w:val="clear" w:color="auto" w:fill="FFFFFF"/>
        </w:rPr>
        <w:t>value</w:t>
      </w:r>
      <w:r w:rsidR="00D44CB0" w:rsidRPr="008E6084">
        <w:rPr>
          <w:rFonts w:ascii="Century Schoolbook" w:hAnsi="Century Schoolbook" w:cstheme="majorBidi"/>
          <w:sz w:val="24"/>
          <w:szCs w:val="24"/>
          <w:shd w:val="clear" w:color="auto" w:fill="FFFFFF"/>
        </w:rPr>
        <w:t xml:space="preserve">. With health and education, this may be obvious. With data as well as tissue, it is less so. Not only are the </w:t>
      </w:r>
      <w:r w:rsidR="00F57F7D" w:rsidRPr="008E6084">
        <w:rPr>
          <w:rFonts w:ascii="Century Schoolbook" w:hAnsi="Century Schoolbook" w:cstheme="majorBidi"/>
          <w:sz w:val="24"/>
          <w:szCs w:val="24"/>
          <w:shd w:val="clear" w:color="auto" w:fill="FFFFFF"/>
        </w:rPr>
        <w:t>ex-ante</w:t>
      </w:r>
      <w:r w:rsidR="00D44CB0" w:rsidRPr="008E6084">
        <w:rPr>
          <w:rFonts w:ascii="Century Schoolbook" w:hAnsi="Century Schoolbook" w:cstheme="majorBidi"/>
          <w:sz w:val="24"/>
          <w:szCs w:val="24"/>
          <w:shd w:val="clear" w:color="auto" w:fill="FFFFFF"/>
        </w:rPr>
        <w:t xml:space="preserve"> prospect</w:t>
      </w:r>
      <w:r w:rsidR="00F57F7D" w:rsidRPr="008E6084">
        <w:rPr>
          <w:rFonts w:ascii="Century Schoolbook" w:hAnsi="Century Schoolbook" w:cstheme="majorBidi"/>
          <w:sz w:val="24"/>
          <w:szCs w:val="24"/>
          <w:shd w:val="clear" w:color="auto" w:fill="FFFFFF"/>
        </w:rPr>
        <w:t>s</w:t>
      </w:r>
      <w:r w:rsidR="00D44CB0" w:rsidRPr="008E6084">
        <w:rPr>
          <w:rFonts w:ascii="Century Schoolbook" w:hAnsi="Century Schoolbook" w:cstheme="majorBidi"/>
          <w:sz w:val="24"/>
          <w:szCs w:val="24"/>
          <w:shd w:val="clear" w:color="auto" w:fill="FFFFFF"/>
        </w:rPr>
        <w:t xml:space="preserve"> of public benefits (in terms of clinically actionable outputs) from any given project questionable, but the other two </w:t>
      </w:r>
      <w:r w:rsidR="00D84B20" w:rsidRPr="008E6084">
        <w:rPr>
          <w:rFonts w:ascii="Century Schoolbook" w:hAnsi="Century Schoolbook" w:cstheme="majorBidi"/>
          <w:sz w:val="24"/>
          <w:szCs w:val="24"/>
          <w:shd w:val="clear" w:color="auto" w:fill="FFFFFF"/>
        </w:rPr>
        <w:t xml:space="preserve">aspects </w:t>
      </w:r>
      <w:r w:rsidR="00D44CB0" w:rsidRPr="008E6084">
        <w:rPr>
          <w:rFonts w:ascii="Century Schoolbook" w:hAnsi="Century Schoolbook" w:cstheme="majorBidi"/>
          <w:sz w:val="24"/>
          <w:szCs w:val="24"/>
          <w:shd w:val="clear" w:color="auto" w:fill="FFFFFF"/>
        </w:rPr>
        <w:t>of justice discussed here point to ways such sharing can exacerbate injustices.</w:t>
      </w:r>
    </w:p>
    <w:p w14:paraId="7217E96A" w14:textId="77777777" w:rsidR="00F57F7D" w:rsidRPr="008E6084" w:rsidRDefault="00F57F7D" w:rsidP="006A3C89">
      <w:pPr>
        <w:spacing w:after="0" w:line="276" w:lineRule="auto"/>
        <w:rPr>
          <w:rFonts w:ascii="Century Schoolbook" w:hAnsi="Century Schoolbook" w:cstheme="majorBidi"/>
          <w:sz w:val="24"/>
          <w:szCs w:val="24"/>
          <w:lang w:eastAsia="zh-CN"/>
        </w:rPr>
      </w:pPr>
    </w:p>
    <w:p w14:paraId="6FD5BFD3" w14:textId="40CC368F" w:rsidR="00D44CB0" w:rsidRPr="008E6084" w:rsidRDefault="00D44CB0"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We have seen how retention of problematic racial and ethnic classifications in the proliferation of data and tissue could exacerbate social injustices. So even if a given project handles the issue with sufficient care, avoiding any </w:t>
      </w:r>
      <w:r w:rsidR="00925540" w:rsidRPr="008E6084">
        <w:rPr>
          <w:rFonts w:ascii="Century Schoolbook" w:hAnsi="Century Schoolbook" w:cstheme="majorBidi"/>
          <w:sz w:val="24"/>
          <w:szCs w:val="24"/>
          <w:shd w:val="clear" w:color="auto" w:fill="FFFFFF"/>
        </w:rPr>
        <w:t>implications</w:t>
      </w:r>
      <w:r w:rsidRPr="008E6084">
        <w:rPr>
          <w:rFonts w:ascii="Century Schoolbook" w:hAnsi="Century Schoolbook" w:cstheme="majorBidi"/>
          <w:sz w:val="24"/>
          <w:szCs w:val="24"/>
          <w:shd w:val="clear" w:color="auto" w:fill="FFFFFF"/>
        </w:rPr>
        <w:t xml:space="preserve"> of </w:t>
      </w:r>
      <w:r w:rsidR="00925540" w:rsidRPr="008E6084">
        <w:rPr>
          <w:rFonts w:ascii="Century Schoolbook" w:hAnsi="Century Schoolbook" w:cstheme="majorBidi"/>
          <w:sz w:val="24"/>
          <w:szCs w:val="24"/>
          <w:shd w:val="clear" w:color="auto" w:fill="FFFFFF"/>
        </w:rPr>
        <w:t xml:space="preserve">a </w:t>
      </w:r>
      <w:r w:rsidRPr="008E6084">
        <w:rPr>
          <w:rFonts w:ascii="Century Schoolbook" w:hAnsi="Century Schoolbook" w:cstheme="majorBidi"/>
          <w:sz w:val="24"/>
          <w:szCs w:val="24"/>
          <w:shd w:val="clear" w:color="auto" w:fill="FFFFFF"/>
        </w:rPr>
        <w:lastRenderedPageBreak/>
        <w:t xml:space="preserve">biological basis of </w:t>
      </w:r>
      <w:r w:rsidR="00925540" w:rsidRPr="008E6084">
        <w:rPr>
          <w:rFonts w:ascii="Century Schoolbook" w:hAnsi="Century Schoolbook" w:cstheme="majorBidi"/>
          <w:sz w:val="24"/>
          <w:szCs w:val="24"/>
          <w:shd w:val="clear" w:color="auto" w:fill="FFFFFF"/>
        </w:rPr>
        <w:t xml:space="preserve">race or ethnicity, it will be difficult to ensure that others who get hold of the relevant data or samples will be so conscientious. </w:t>
      </w:r>
      <w:r w:rsidR="007478EC" w:rsidRPr="008E6084">
        <w:rPr>
          <w:rFonts w:ascii="Century Schoolbook" w:hAnsi="Century Schoolbook" w:cstheme="majorBidi"/>
          <w:sz w:val="24"/>
          <w:szCs w:val="24"/>
          <w:shd w:val="clear" w:color="auto" w:fill="FFFFFF"/>
        </w:rPr>
        <w:t>W</w:t>
      </w:r>
      <w:r w:rsidR="00925540" w:rsidRPr="008E6084">
        <w:rPr>
          <w:rFonts w:ascii="Century Schoolbook" w:hAnsi="Century Schoolbook" w:cstheme="majorBidi"/>
          <w:sz w:val="24"/>
          <w:szCs w:val="24"/>
          <w:shd w:val="clear" w:color="auto" w:fill="FFFFFF"/>
        </w:rPr>
        <w:t>ell-meaning researchers can make objectionable inferences with such information.</w:t>
      </w:r>
    </w:p>
    <w:p w14:paraId="4BBE5D9E" w14:textId="71B468F4" w:rsidR="00925540" w:rsidRPr="008E6084" w:rsidRDefault="007478EC"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In addition</w:t>
      </w:r>
      <w:r w:rsidR="00925540" w:rsidRPr="008E6084">
        <w:rPr>
          <w:rFonts w:ascii="Century Schoolbook" w:hAnsi="Century Schoolbook" w:cstheme="majorBidi"/>
          <w:sz w:val="24"/>
          <w:szCs w:val="24"/>
          <w:shd w:val="clear" w:color="auto" w:fill="FFFFFF"/>
        </w:rPr>
        <w:t>, we need to ask who is benefitting and whether those benefits are distributed justly. If benefits are centred on only a subgroup of society, then it would be misleading to claim that the human right to benefit from science is met by generous sharing regimes.  The human right to benefit from science is only operational (that is, we can only confidently say that ‘everyone’ benefits from a sharing regime) when other aspects of justice are satisfied.</w:t>
      </w:r>
    </w:p>
    <w:p w14:paraId="06D242A7" w14:textId="7A0D8FAE" w:rsidR="00817175" w:rsidRPr="008E6084" w:rsidRDefault="00817175" w:rsidP="006A3C89">
      <w:pPr>
        <w:spacing w:line="276" w:lineRule="auto"/>
        <w:jc w:val="both"/>
        <w:rPr>
          <w:rFonts w:ascii="Century Schoolbook" w:hAnsi="Century Schoolbook" w:cstheme="majorBidi"/>
          <w:i/>
          <w:sz w:val="24"/>
          <w:szCs w:val="24"/>
          <w:shd w:val="clear" w:color="auto" w:fill="FFFFFF"/>
        </w:rPr>
      </w:pPr>
      <w:r w:rsidRPr="008E6084">
        <w:rPr>
          <w:rFonts w:ascii="Century Schoolbook" w:hAnsi="Century Schoolbook" w:cstheme="majorBidi"/>
          <w:i/>
          <w:sz w:val="24"/>
          <w:szCs w:val="24"/>
          <w:shd w:val="clear" w:color="auto" w:fill="FFFFFF"/>
        </w:rPr>
        <w:t>Conditional sharing in precision medicine</w:t>
      </w:r>
    </w:p>
    <w:p w14:paraId="508494CC" w14:textId="312B4ECE" w:rsidR="00925540" w:rsidRPr="008E6084" w:rsidRDefault="00925540"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As a result, a liberal ‘open sharing’ approach championed by some</w:t>
      </w:r>
      <w:r w:rsidR="009A4CAD" w:rsidRPr="008E6084">
        <w:rPr>
          <w:rStyle w:val="FootnoteReference"/>
          <w:rFonts w:ascii="Century Schoolbook" w:hAnsi="Century Schoolbook" w:cstheme="majorBidi"/>
          <w:sz w:val="24"/>
          <w:szCs w:val="24"/>
          <w:shd w:val="clear" w:color="auto" w:fill="FFFFFF"/>
        </w:rPr>
        <w:footnoteReference w:id="46"/>
      </w:r>
      <w:r w:rsidRPr="008E6084">
        <w:rPr>
          <w:rFonts w:ascii="Century Schoolbook" w:hAnsi="Century Schoolbook" w:cstheme="majorBidi"/>
          <w:sz w:val="24"/>
          <w:szCs w:val="24"/>
          <w:shd w:val="clear" w:color="auto" w:fill="FFFFFF"/>
        </w:rPr>
        <w:t xml:space="preserve"> may be incompatible with promoting justice. True open sharing means proliferation without condition or restriction. The sharer cannot have any control or guarantee what is done with the data, whether it will respect social justice or have benefits that are distributed fairly. And </w:t>
      </w:r>
      <w:proofErr w:type="gramStart"/>
      <w:r w:rsidRPr="008E6084">
        <w:rPr>
          <w:rFonts w:ascii="Century Schoolbook" w:hAnsi="Century Schoolbook" w:cstheme="majorBidi"/>
          <w:sz w:val="24"/>
          <w:szCs w:val="24"/>
          <w:shd w:val="clear" w:color="auto" w:fill="FFFFFF"/>
        </w:rPr>
        <w:t>in light of</w:t>
      </w:r>
      <w:proofErr w:type="gramEnd"/>
      <w:r w:rsidRPr="008E6084">
        <w:rPr>
          <w:rFonts w:ascii="Century Schoolbook" w:hAnsi="Century Schoolbook" w:cstheme="majorBidi"/>
          <w:sz w:val="24"/>
          <w:szCs w:val="24"/>
          <w:shd w:val="clear" w:color="auto" w:fill="FFFFFF"/>
        </w:rPr>
        <w:t xml:space="preserve"> the failings of current practices in these regards, </w:t>
      </w:r>
      <w:r w:rsidR="00817175" w:rsidRPr="008E6084">
        <w:rPr>
          <w:rFonts w:ascii="Century Schoolbook" w:hAnsi="Century Schoolbook" w:cstheme="majorBidi"/>
          <w:sz w:val="24"/>
          <w:szCs w:val="24"/>
          <w:shd w:val="clear" w:color="auto" w:fill="FFFFFF"/>
        </w:rPr>
        <w:t>we can expect</w:t>
      </w:r>
      <w:r w:rsidRPr="008E6084">
        <w:rPr>
          <w:rFonts w:ascii="Century Schoolbook" w:hAnsi="Century Schoolbook" w:cstheme="majorBidi"/>
          <w:sz w:val="24"/>
          <w:szCs w:val="24"/>
          <w:shd w:val="clear" w:color="auto" w:fill="FFFFFF"/>
        </w:rPr>
        <w:t xml:space="preserve"> that without such controls, injustices along the lines described here will continue.</w:t>
      </w:r>
    </w:p>
    <w:p w14:paraId="34AFEE2F" w14:textId="0526627D" w:rsidR="00925540" w:rsidRPr="008E6084" w:rsidRDefault="00925540"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Responsible sharing, then, requires conditions – not just with an eye towards maintaining confidentiality and respecting privacy or consent restrictions, but also with regards to the </w:t>
      </w:r>
      <w:r w:rsidR="00D84B20" w:rsidRPr="008E6084">
        <w:rPr>
          <w:rFonts w:ascii="Century Schoolbook" w:hAnsi="Century Schoolbook" w:cstheme="majorBidi"/>
          <w:sz w:val="24"/>
          <w:szCs w:val="24"/>
          <w:shd w:val="clear" w:color="auto" w:fill="FFFFFF"/>
        </w:rPr>
        <w:t xml:space="preserve">aspects </w:t>
      </w:r>
      <w:r w:rsidRPr="008E6084">
        <w:rPr>
          <w:rFonts w:ascii="Century Schoolbook" w:hAnsi="Century Schoolbook" w:cstheme="majorBidi"/>
          <w:sz w:val="24"/>
          <w:szCs w:val="24"/>
          <w:shd w:val="clear" w:color="auto" w:fill="FFFFFF"/>
        </w:rPr>
        <w:t>of justice discussed here.</w:t>
      </w:r>
      <w:r w:rsidR="00817175" w:rsidRPr="008E6084">
        <w:rPr>
          <w:rFonts w:ascii="Century Schoolbook" w:hAnsi="Century Schoolbook" w:cstheme="majorBidi"/>
          <w:sz w:val="24"/>
          <w:szCs w:val="24"/>
          <w:shd w:val="clear" w:color="auto" w:fill="FFFFFF"/>
        </w:rPr>
        <w:t xml:space="preserve"> Precision medicine programmes that aim to generate or maintain datasets or tissue repositories must therefore consider what sort of conditions might help realize these concerns of justice. For example, stripping out racial/ethnic identifiers would be one way to ensure non-proliferation of harmful associations, after due determination is made about the costs (if any) of such removals. </w:t>
      </w:r>
    </w:p>
    <w:p w14:paraId="60B58178" w14:textId="06DA7A56" w:rsidR="00817175" w:rsidRPr="008E6084" w:rsidRDefault="00BA4E51"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To identify an appropriate mechanism for ensuring these conditions are met, we could </w:t>
      </w:r>
      <w:r w:rsidR="00012DE5" w:rsidRPr="008E6084">
        <w:rPr>
          <w:rFonts w:ascii="Century Schoolbook" w:hAnsi="Century Schoolbook" w:cstheme="majorBidi"/>
          <w:sz w:val="24"/>
          <w:szCs w:val="24"/>
          <w:shd w:val="clear" w:color="auto" w:fill="FFFFFF"/>
        </w:rPr>
        <w:t xml:space="preserve">draw </w:t>
      </w:r>
      <w:r w:rsidRPr="008E6084">
        <w:rPr>
          <w:rFonts w:ascii="Century Schoolbook" w:hAnsi="Century Schoolbook" w:cstheme="majorBidi"/>
          <w:sz w:val="24"/>
          <w:szCs w:val="24"/>
          <w:shd w:val="clear" w:color="auto" w:fill="FFFFFF"/>
        </w:rPr>
        <w:t>on the approach of the</w:t>
      </w:r>
      <w:r w:rsidR="00817175" w:rsidRPr="008E6084">
        <w:rPr>
          <w:rFonts w:ascii="Century Schoolbook" w:hAnsi="Century Schoolbook" w:cstheme="majorBidi"/>
          <w:sz w:val="24"/>
          <w:szCs w:val="24"/>
          <w:shd w:val="clear" w:color="auto" w:fill="FFFFFF"/>
        </w:rPr>
        <w:t xml:space="preserve"> UK Biobank, which from its outset sought to ensure that tissue under its care was used for the public good.</w:t>
      </w:r>
      <w:r w:rsidR="009102AC" w:rsidRPr="008E6084">
        <w:rPr>
          <w:rStyle w:val="FootnoteReference"/>
          <w:rFonts w:ascii="Century Schoolbook" w:hAnsi="Century Schoolbook" w:cstheme="majorBidi"/>
          <w:sz w:val="24"/>
          <w:szCs w:val="24"/>
          <w:shd w:val="clear" w:color="auto" w:fill="FFFFFF"/>
        </w:rPr>
        <w:footnoteReference w:id="47"/>
      </w:r>
      <w:r w:rsidR="00817175" w:rsidRPr="008E6084">
        <w:rPr>
          <w:rFonts w:ascii="Century Schoolbook" w:hAnsi="Century Schoolbook" w:cstheme="majorBidi"/>
          <w:sz w:val="24"/>
          <w:szCs w:val="24"/>
          <w:shd w:val="clear" w:color="auto" w:fill="FFFFFF"/>
        </w:rPr>
        <w:t xml:space="preserve">  </w:t>
      </w:r>
      <w:r w:rsidR="00F40E11" w:rsidRPr="008E6084">
        <w:rPr>
          <w:rFonts w:ascii="Century Schoolbook" w:hAnsi="Century Schoolbook" w:cstheme="majorBidi"/>
          <w:sz w:val="24"/>
          <w:szCs w:val="24"/>
          <w:shd w:val="clear" w:color="auto" w:fill="FFFFFF"/>
        </w:rPr>
        <w:t xml:space="preserve">This means that any research request to access tissue and data must not only meet standards of scientific validity or data security, but also show how the use will promote health throughout society. </w:t>
      </w:r>
      <w:r w:rsidRPr="008E6084">
        <w:rPr>
          <w:rFonts w:ascii="Century Schoolbook" w:hAnsi="Century Schoolbook" w:cstheme="majorBidi"/>
          <w:sz w:val="24"/>
          <w:szCs w:val="24"/>
          <w:shd w:val="clear" w:color="auto" w:fill="FFFFFF"/>
        </w:rPr>
        <w:t>However, the public good test remains mostly unspecified at present. Biobanks and databanks like the UK Biobank would therefore do well to explicitly include analysis of potential impact of sharing on racial or ethnic sensitivities</w:t>
      </w:r>
      <w:r w:rsidR="00A94A81" w:rsidRPr="008E6084">
        <w:rPr>
          <w:rFonts w:ascii="Century Schoolbook" w:hAnsi="Century Schoolbook" w:cstheme="majorBidi"/>
          <w:sz w:val="24"/>
          <w:szCs w:val="24"/>
          <w:shd w:val="clear" w:color="auto" w:fill="FFFFFF"/>
        </w:rPr>
        <w:t>.</w:t>
      </w:r>
    </w:p>
    <w:p w14:paraId="0EF1ABA5" w14:textId="7CBD508D" w:rsidR="00A94A81" w:rsidRPr="008E6084" w:rsidRDefault="00A94A81"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lastRenderedPageBreak/>
        <w:t>In this way, it may be useful to adapt the model of ‘racial impact assessments’ proposed by Osagie K. Obasogie, analogous to more commonplace environmental impact assessments.</w:t>
      </w:r>
      <w:r w:rsidRPr="008E6084">
        <w:rPr>
          <w:rStyle w:val="FootnoteReference"/>
          <w:rFonts w:ascii="Century Schoolbook" w:hAnsi="Century Schoolbook" w:cstheme="majorBidi"/>
          <w:sz w:val="24"/>
          <w:szCs w:val="24"/>
          <w:shd w:val="clear" w:color="auto" w:fill="FFFFFF"/>
        </w:rPr>
        <w:footnoteReference w:id="48"/>
      </w:r>
      <w:r w:rsidRPr="008E6084">
        <w:rPr>
          <w:rFonts w:ascii="Century Schoolbook" w:hAnsi="Century Schoolbook" w:cstheme="majorBidi"/>
          <w:sz w:val="24"/>
          <w:szCs w:val="24"/>
          <w:shd w:val="clear" w:color="auto" w:fill="FFFFFF"/>
        </w:rPr>
        <w:t xml:space="preserve"> Obasogie envisages these assessments as a regulatory mechanism pertaining to commercially available products like ancestry tests, but the same framework could be applied to primary research itself (at the IRB/REC level), as well as for sharing of data or samples (by a data access committee or </w:t>
      </w:r>
      <w:r w:rsidR="009D004A" w:rsidRPr="008E6084">
        <w:rPr>
          <w:rFonts w:ascii="Century Schoolbook" w:hAnsi="Century Schoolbook" w:cstheme="majorBidi"/>
          <w:sz w:val="24"/>
          <w:szCs w:val="24"/>
          <w:shd w:val="clear" w:color="auto" w:fill="FFFFFF"/>
        </w:rPr>
        <w:t xml:space="preserve">a </w:t>
      </w:r>
      <w:r w:rsidRPr="008E6084">
        <w:rPr>
          <w:rFonts w:ascii="Century Schoolbook" w:hAnsi="Century Schoolbook" w:cstheme="majorBidi"/>
          <w:sz w:val="24"/>
          <w:szCs w:val="24"/>
          <w:shd w:val="clear" w:color="auto" w:fill="FFFFFF"/>
        </w:rPr>
        <w:t>similar</w:t>
      </w:r>
      <w:r w:rsidR="009D004A" w:rsidRPr="008E6084">
        <w:rPr>
          <w:rFonts w:ascii="Century Schoolbook" w:hAnsi="Century Schoolbook" w:cstheme="majorBidi"/>
          <w:sz w:val="24"/>
          <w:szCs w:val="24"/>
          <w:shd w:val="clear" w:color="auto" w:fill="FFFFFF"/>
        </w:rPr>
        <w:t xml:space="preserve"> mechanism</w:t>
      </w:r>
      <w:r w:rsidRPr="008E6084">
        <w:rPr>
          <w:rFonts w:ascii="Century Schoolbook" w:hAnsi="Century Schoolbook" w:cstheme="majorBidi"/>
          <w:sz w:val="24"/>
          <w:szCs w:val="24"/>
          <w:shd w:val="clear" w:color="auto" w:fill="FFFFFF"/>
        </w:rPr>
        <w:t>).  Such an assessment would need to be mindful, among other things, of the ways that a given study might promote or inhibit different aspects of justice discussed here.</w:t>
      </w:r>
    </w:p>
    <w:p w14:paraId="5984F690" w14:textId="31306CD6" w:rsidR="00817175" w:rsidRPr="008E6084" w:rsidRDefault="00817175" w:rsidP="006A3C89">
      <w:pPr>
        <w:pStyle w:val="ListParagraph"/>
        <w:numPr>
          <w:ilvl w:val="0"/>
          <w:numId w:val="2"/>
        </w:num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Conclusion</w:t>
      </w:r>
    </w:p>
    <w:p w14:paraId="29CC1620" w14:textId="05C8272A" w:rsidR="00817175" w:rsidRPr="008E6084" w:rsidRDefault="00B503CE"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We have, in this paper, </w:t>
      </w:r>
      <w:r w:rsidR="004218B1" w:rsidRPr="008E6084">
        <w:rPr>
          <w:rFonts w:ascii="Century Schoolbook" w:hAnsi="Century Schoolbook" w:cstheme="majorBidi"/>
          <w:sz w:val="24"/>
          <w:szCs w:val="24"/>
          <w:shd w:val="clear" w:color="auto" w:fill="FFFFFF"/>
        </w:rPr>
        <w:t xml:space="preserve">delved into three aspects of justice – social, distributive and rights-based – that </w:t>
      </w:r>
      <w:r w:rsidR="00EF75B0" w:rsidRPr="008E6084">
        <w:rPr>
          <w:rFonts w:ascii="Century Schoolbook" w:hAnsi="Century Schoolbook" w:cstheme="majorBidi"/>
          <w:sz w:val="24"/>
          <w:szCs w:val="24"/>
          <w:shd w:val="clear" w:color="auto" w:fill="FFFFFF"/>
        </w:rPr>
        <w:t>are relevant to the use of race and ethnicity in the</w:t>
      </w:r>
      <w:r w:rsidR="004218B1" w:rsidRPr="008E6084">
        <w:rPr>
          <w:rFonts w:ascii="Century Schoolbook" w:hAnsi="Century Schoolbook" w:cstheme="majorBidi"/>
          <w:sz w:val="24"/>
          <w:szCs w:val="24"/>
          <w:shd w:val="clear" w:color="auto" w:fill="FFFFFF"/>
        </w:rPr>
        <w:t xml:space="preserve"> development of precision medicine.</w:t>
      </w:r>
      <w:r w:rsidR="00D66FB3" w:rsidRPr="008E6084">
        <w:rPr>
          <w:rFonts w:ascii="Century Schoolbook" w:hAnsi="Century Schoolbook" w:cstheme="majorBidi"/>
          <w:sz w:val="24"/>
          <w:szCs w:val="24"/>
          <w:shd w:val="clear" w:color="auto" w:fill="FFFFFF"/>
        </w:rPr>
        <w:t xml:space="preserve"> </w:t>
      </w:r>
      <w:r w:rsidR="00846C34" w:rsidRPr="008E6084">
        <w:rPr>
          <w:rFonts w:ascii="Century Schoolbook" w:hAnsi="Century Schoolbook" w:cstheme="majorBidi"/>
          <w:sz w:val="24"/>
          <w:szCs w:val="24"/>
          <w:shd w:val="clear" w:color="auto" w:fill="FFFFFF"/>
        </w:rPr>
        <w:t>While individually they have received varying degrees of attention in the bioethical literature surrounding precision medicine, our contribution has been to consider them together, so the relationships and tensions between them can more clearly be brought to light.</w:t>
      </w:r>
    </w:p>
    <w:p w14:paraId="2432FCEF" w14:textId="11A6EA4F" w:rsidR="00D43988" w:rsidRPr="008E6084" w:rsidRDefault="00D43988"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Taking justice seriously in the</w:t>
      </w:r>
      <w:r w:rsidR="008F5C59" w:rsidRPr="008E6084">
        <w:rPr>
          <w:rFonts w:ascii="Century Schoolbook" w:hAnsi="Century Schoolbook" w:cstheme="majorBidi"/>
          <w:sz w:val="24"/>
          <w:szCs w:val="24"/>
          <w:shd w:val="clear" w:color="auto" w:fill="FFFFFF"/>
        </w:rPr>
        <w:t xml:space="preserve"> </w:t>
      </w:r>
      <w:r w:rsidRPr="008E6084">
        <w:rPr>
          <w:rFonts w:ascii="Century Schoolbook" w:hAnsi="Century Schoolbook" w:cstheme="majorBidi"/>
          <w:sz w:val="24"/>
          <w:szCs w:val="24"/>
          <w:shd w:val="clear" w:color="auto" w:fill="FFFFFF"/>
        </w:rPr>
        <w:t xml:space="preserve">development of precision medicine should not </w:t>
      </w:r>
      <w:proofErr w:type="gramStart"/>
      <w:r w:rsidRPr="008E6084">
        <w:rPr>
          <w:rFonts w:ascii="Century Schoolbook" w:hAnsi="Century Schoolbook" w:cstheme="majorBidi"/>
          <w:sz w:val="24"/>
          <w:szCs w:val="24"/>
          <w:shd w:val="clear" w:color="auto" w:fill="FFFFFF"/>
        </w:rPr>
        <w:t>be seen as</w:t>
      </w:r>
      <w:proofErr w:type="gramEnd"/>
      <w:r w:rsidRPr="008E6084">
        <w:rPr>
          <w:rFonts w:ascii="Century Schoolbook" w:hAnsi="Century Schoolbook" w:cstheme="majorBidi"/>
          <w:sz w:val="24"/>
          <w:szCs w:val="24"/>
          <w:shd w:val="clear" w:color="auto" w:fill="FFFFFF"/>
        </w:rPr>
        <w:t xml:space="preserve"> a barrier to valuable research. Distributive justice weighs in favour of continued efforts to diversify biobanks and genetic datasets to ensure the fruits of research can benefit a wide array of populations. At the same time, we should question the necessity of relying on racial and ethnic categories in such research, when other proxies for diversity such as geographic origin could suffice. These considerations are not limited to research projects alone, but also should be part of evaluation of access requests from biobanks and genetic databanks, including assessment where appropriate of including racial and ethnic tags. </w:t>
      </w:r>
    </w:p>
    <w:p w14:paraId="270A3044" w14:textId="489540FC" w:rsidR="00846C34" w:rsidRPr="008E6084" w:rsidRDefault="00846C34" w:rsidP="006A3C89">
      <w:pPr>
        <w:spacing w:line="276" w:lineRule="auto"/>
        <w:jc w:val="both"/>
        <w:rPr>
          <w:rFonts w:ascii="Century Schoolbook" w:hAnsi="Century Schoolbook" w:cstheme="majorBidi"/>
          <w:sz w:val="24"/>
          <w:szCs w:val="24"/>
          <w:shd w:val="clear" w:color="auto" w:fill="FFFFFF"/>
        </w:rPr>
      </w:pPr>
      <w:r w:rsidRPr="008E6084">
        <w:rPr>
          <w:rFonts w:ascii="Century Schoolbook" w:hAnsi="Century Schoolbook" w:cstheme="majorBidi"/>
          <w:sz w:val="24"/>
          <w:szCs w:val="24"/>
          <w:shd w:val="clear" w:color="auto" w:fill="FFFFFF"/>
        </w:rPr>
        <w:t xml:space="preserve">As this </w:t>
      </w:r>
      <w:r w:rsidR="00E92CF8" w:rsidRPr="008E6084">
        <w:rPr>
          <w:rFonts w:ascii="Century Schoolbook" w:hAnsi="Century Schoolbook" w:cstheme="majorBidi"/>
          <w:sz w:val="24"/>
          <w:szCs w:val="24"/>
          <w:shd w:val="clear" w:color="auto" w:fill="FFFFFF"/>
        </w:rPr>
        <w:t>paper</w:t>
      </w:r>
      <w:r w:rsidRPr="008E6084">
        <w:rPr>
          <w:rFonts w:ascii="Century Schoolbook" w:hAnsi="Century Schoolbook" w:cstheme="majorBidi"/>
          <w:sz w:val="24"/>
          <w:szCs w:val="24"/>
          <w:shd w:val="clear" w:color="auto" w:fill="FFFFFF"/>
        </w:rPr>
        <w:t xml:space="preserve"> reflects only a selection of issues of justice in precision medicine, it leaves open other topics and potential intersections within the scope of justice that may merit further investigation.  For example, we set procedural justice considerations aside in this discussion, but an astute reader will notice some interesting connections. </w:t>
      </w:r>
      <w:r w:rsidR="001458CE" w:rsidRPr="008E6084">
        <w:rPr>
          <w:rFonts w:ascii="Century Schoolbook" w:hAnsi="Century Schoolbook" w:cstheme="majorBidi"/>
          <w:sz w:val="24"/>
          <w:szCs w:val="24"/>
          <w:shd w:val="clear" w:color="auto" w:fill="FFFFFF"/>
        </w:rPr>
        <w:t>S</w:t>
      </w:r>
      <w:r w:rsidRPr="008E6084">
        <w:rPr>
          <w:rFonts w:ascii="Century Schoolbook" w:hAnsi="Century Schoolbook" w:cstheme="majorBidi"/>
          <w:sz w:val="24"/>
          <w:szCs w:val="24"/>
          <w:shd w:val="clear" w:color="auto" w:fill="FFFFFF"/>
        </w:rPr>
        <w:t xml:space="preserve">ocial justice concerns extend beyond race and ethnicity to also include social economic exploitation, which could constitute an objection to commodifying data or tissue resources, even if the </w:t>
      </w:r>
      <w:proofErr w:type="gramStart"/>
      <w:r w:rsidRPr="008E6084">
        <w:rPr>
          <w:rFonts w:ascii="Century Schoolbook" w:hAnsi="Century Schoolbook" w:cstheme="majorBidi"/>
          <w:sz w:val="24"/>
          <w:szCs w:val="24"/>
          <w:shd w:val="clear" w:color="auto" w:fill="FFFFFF"/>
        </w:rPr>
        <w:t>ultimate goal</w:t>
      </w:r>
      <w:proofErr w:type="gramEnd"/>
      <w:r w:rsidRPr="008E6084">
        <w:rPr>
          <w:rFonts w:ascii="Century Schoolbook" w:hAnsi="Century Schoolbook" w:cstheme="majorBidi"/>
          <w:sz w:val="24"/>
          <w:szCs w:val="24"/>
          <w:shd w:val="clear" w:color="auto" w:fill="FFFFFF"/>
        </w:rPr>
        <w:t xml:space="preserve"> is to improve distribution of benefits.  And we have not examined in great depth concerns redistributive schemes may have on individuals’ liberty and rights against coercive state interventions.</w:t>
      </w:r>
    </w:p>
    <w:p w14:paraId="600C0E05" w14:textId="5641D081" w:rsidR="00E92CF8" w:rsidRPr="008E6084" w:rsidRDefault="00E92CF8" w:rsidP="006A3C89">
      <w:pPr>
        <w:spacing w:line="276" w:lineRule="auto"/>
        <w:jc w:val="both"/>
        <w:rPr>
          <w:rFonts w:ascii="Century Schoolbook" w:hAnsi="Century Schoolbook" w:cstheme="majorBidi"/>
          <w:color w:val="333333"/>
          <w:sz w:val="24"/>
          <w:szCs w:val="24"/>
          <w:shd w:val="clear" w:color="auto" w:fill="FFFFFF"/>
        </w:rPr>
      </w:pPr>
      <w:r w:rsidRPr="008E6084">
        <w:rPr>
          <w:rFonts w:ascii="Century Schoolbook" w:hAnsi="Century Schoolbook" w:cstheme="majorBidi"/>
          <w:sz w:val="24"/>
          <w:szCs w:val="24"/>
          <w:shd w:val="clear" w:color="auto" w:fill="FFFFFF"/>
        </w:rPr>
        <w:t xml:space="preserve">Nevertheless, we hope what we have been able to discuss in this space is not only of interest to ethicists grappling with difficult applications of moral theory to </w:t>
      </w:r>
      <w:r w:rsidRPr="008E6084">
        <w:rPr>
          <w:rFonts w:ascii="Century Schoolbook" w:hAnsi="Century Schoolbook" w:cstheme="majorBidi"/>
          <w:sz w:val="24"/>
          <w:szCs w:val="24"/>
          <w:shd w:val="clear" w:color="auto" w:fill="FFFFFF"/>
        </w:rPr>
        <w:lastRenderedPageBreak/>
        <w:t xml:space="preserve">practice, but also practitioners in precision medicine who have the arduous task </w:t>
      </w:r>
      <w:r w:rsidR="008F5C59" w:rsidRPr="008E6084">
        <w:rPr>
          <w:rFonts w:ascii="Century Schoolbook" w:hAnsi="Century Schoolbook" w:cstheme="majorBidi"/>
          <w:sz w:val="24"/>
          <w:szCs w:val="24"/>
          <w:shd w:val="clear" w:color="auto" w:fill="FFFFFF"/>
        </w:rPr>
        <w:t xml:space="preserve">of </w:t>
      </w:r>
      <w:r w:rsidRPr="008E6084">
        <w:rPr>
          <w:rFonts w:ascii="Century Schoolbook" w:hAnsi="Century Schoolbook" w:cstheme="majorBidi"/>
          <w:sz w:val="24"/>
          <w:szCs w:val="24"/>
          <w:shd w:val="clear" w:color="auto" w:fill="FFFFFF"/>
        </w:rPr>
        <w:t>shap</w:t>
      </w:r>
      <w:r w:rsidR="008F5C59" w:rsidRPr="008E6084">
        <w:rPr>
          <w:rFonts w:ascii="Century Schoolbook" w:hAnsi="Century Schoolbook" w:cstheme="majorBidi"/>
          <w:sz w:val="24"/>
          <w:szCs w:val="24"/>
          <w:shd w:val="clear" w:color="auto" w:fill="FFFFFF"/>
        </w:rPr>
        <w:t>ing</w:t>
      </w:r>
      <w:r w:rsidRPr="008E6084">
        <w:rPr>
          <w:rFonts w:ascii="Century Schoolbook" w:hAnsi="Century Schoolbook" w:cstheme="majorBidi"/>
          <w:sz w:val="24"/>
          <w:szCs w:val="24"/>
          <w:shd w:val="clear" w:color="auto" w:fill="FFFFFF"/>
        </w:rPr>
        <w:t xml:space="preserve"> new and existing enterprises in both a scientifically robust and ethically responsible manner. In addition to the </w:t>
      </w:r>
      <w:proofErr w:type="gramStart"/>
      <w:r w:rsidRPr="008E6084">
        <w:rPr>
          <w:rFonts w:ascii="Century Schoolbook" w:hAnsi="Century Schoolbook" w:cstheme="majorBidi"/>
          <w:sz w:val="24"/>
          <w:szCs w:val="24"/>
          <w:shd w:val="clear" w:color="auto" w:fill="FFFFFF"/>
        </w:rPr>
        <w:t>particular considerations</w:t>
      </w:r>
      <w:proofErr w:type="gramEnd"/>
      <w:r w:rsidRPr="008E6084">
        <w:rPr>
          <w:rFonts w:ascii="Century Schoolbook" w:hAnsi="Century Schoolbook" w:cstheme="majorBidi"/>
          <w:sz w:val="24"/>
          <w:szCs w:val="24"/>
          <w:shd w:val="clear" w:color="auto" w:fill="FFFFFF"/>
        </w:rPr>
        <w:t xml:space="preserve"> examined here, it is worth emphasising that there can be no system that will satisfy all considerations of justice. At some level, trade</w:t>
      </w:r>
      <w:r w:rsidR="00012DE5" w:rsidRPr="008E6084">
        <w:rPr>
          <w:rFonts w:ascii="Century Schoolbook" w:hAnsi="Century Schoolbook" w:cstheme="majorBidi"/>
          <w:sz w:val="24"/>
          <w:szCs w:val="24"/>
          <w:shd w:val="clear" w:color="auto" w:fill="FFFFFF"/>
        </w:rPr>
        <w:t>-</w:t>
      </w:r>
      <w:r w:rsidRPr="008E6084">
        <w:rPr>
          <w:rFonts w:ascii="Century Schoolbook" w:hAnsi="Century Schoolbook" w:cstheme="majorBidi"/>
          <w:sz w:val="24"/>
          <w:szCs w:val="24"/>
          <w:shd w:val="clear" w:color="auto" w:fill="FFFFFF"/>
        </w:rPr>
        <w:t xml:space="preserve">offs must occur, and a decision </w:t>
      </w:r>
      <w:r w:rsidR="008F5C59" w:rsidRPr="008E6084">
        <w:rPr>
          <w:rFonts w:ascii="Century Schoolbook" w:hAnsi="Century Schoolbook" w:cstheme="majorBidi"/>
          <w:sz w:val="24"/>
          <w:szCs w:val="24"/>
          <w:shd w:val="clear" w:color="auto" w:fill="FFFFFF"/>
        </w:rPr>
        <w:t xml:space="preserve">must be </w:t>
      </w:r>
      <w:r w:rsidRPr="008E6084">
        <w:rPr>
          <w:rFonts w:ascii="Century Schoolbook" w:hAnsi="Century Schoolbook" w:cstheme="majorBidi"/>
          <w:sz w:val="24"/>
          <w:szCs w:val="24"/>
          <w:shd w:val="clear" w:color="auto" w:fill="FFFFFF"/>
        </w:rPr>
        <w:t xml:space="preserve">made about which considerations of justice must take precedence </w:t>
      </w:r>
      <w:proofErr w:type="gramStart"/>
      <w:r w:rsidRPr="008E6084">
        <w:rPr>
          <w:rFonts w:ascii="Century Schoolbook" w:hAnsi="Century Schoolbook" w:cstheme="majorBidi"/>
          <w:sz w:val="24"/>
          <w:szCs w:val="24"/>
          <w:shd w:val="clear" w:color="auto" w:fill="FFFFFF"/>
        </w:rPr>
        <w:t>in a given</w:t>
      </w:r>
      <w:proofErr w:type="gramEnd"/>
      <w:r w:rsidRPr="008E6084">
        <w:rPr>
          <w:rFonts w:ascii="Century Schoolbook" w:hAnsi="Century Schoolbook" w:cstheme="majorBidi"/>
          <w:sz w:val="24"/>
          <w:szCs w:val="24"/>
          <w:shd w:val="clear" w:color="auto" w:fill="FFFFFF"/>
        </w:rPr>
        <w:t xml:space="preserve"> context, and what compromises may be acceptable</w:t>
      </w:r>
      <w:r w:rsidRPr="008E6084">
        <w:rPr>
          <w:rFonts w:ascii="Century Schoolbook" w:hAnsi="Century Schoolbook" w:cstheme="majorBidi"/>
          <w:color w:val="333333"/>
          <w:sz w:val="24"/>
          <w:szCs w:val="24"/>
          <w:shd w:val="clear" w:color="auto" w:fill="FFFFFF"/>
        </w:rPr>
        <w:t xml:space="preserve">.  </w:t>
      </w:r>
    </w:p>
    <w:p w14:paraId="35E8CD9D" w14:textId="3F24D754" w:rsidR="00001A80" w:rsidRPr="008E6084" w:rsidRDefault="00001A80" w:rsidP="006A3C89">
      <w:pPr>
        <w:spacing w:line="276" w:lineRule="auto"/>
        <w:jc w:val="both"/>
        <w:rPr>
          <w:rFonts w:ascii="Century Schoolbook" w:hAnsi="Century Schoolbook" w:cstheme="majorBidi"/>
          <w:color w:val="333333"/>
          <w:sz w:val="24"/>
          <w:szCs w:val="24"/>
          <w:shd w:val="clear" w:color="auto" w:fill="FFFFFF"/>
        </w:rPr>
      </w:pPr>
    </w:p>
    <w:p w14:paraId="03657C73" w14:textId="3D6BF173" w:rsidR="00001A80" w:rsidRPr="008E6084" w:rsidRDefault="00001A80" w:rsidP="006A3C89">
      <w:pPr>
        <w:spacing w:line="276" w:lineRule="auto"/>
        <w:jc w:val="both"/>
        <w:rPr>
          <w:rFonts w:ascii="Century Schoolbook" w:hAnsi="Century Schoolbook" w:cstheme="majorBidi"/>
          <w:b/>
          <w:bCs/>
          <w:color w:val="333333"/>
          <w:u w:val="single"/>
          <w:shd w:val="clear" w:color="auto" w:fill="FFFFFF"/>
        </w:rPr>
      </w:pPr>
      <w:r w:rsidRPr="008E6084">
        <w:rPr>
          <w:rFonts w:ascii="Century Schoolbook" w:hAnsi="Century Schoolbook" w:cstheme="majorBidi"/>
          <w:b/>
          <w:bCs/>
          <w:color w:val="333333"/>
          <w:u w:val="single"/>
          <w:shd w:val="clear" w:color="auto" w:fill="FFFFFF"/>
        </w:rPr>
        <w:t>Acknowledgements</w:t>
      </w:r>
    </w:p>
    <w:p w14:paraId="711AAAB5" w14:textId="7B32765A" w:rsidR="00001A80" w:rsidRPr="008E6084" w:rsidRDefault="00001A80" w:rsidP="006A3C89">
      <w:pPr>
        <w:spacing w:line="276" w:lineRule="auto"/>
        <w:jc w:val="both"/>
        <w:rPr>
          <w:rFonts w:ascii="Century Schoolbook" w:hAnsi="Century Schoolbook" w:cs="Arial"/>
          <w:color w:val="1C1D1E"/>
          <w:shd w:val="clear" w:color="auto" w:fill="FFFFFF"/>
        </w:rPr>
      </w:pPr>
      <w:r w:rsidRPr="008E6084">
        <w:rPr>
          <w:rFonts w:ascii="Century Schoolbook" w:hAnsi="Century Schoolbook" w:cs="Arial"/>
          <w:color w:val="1C1D1E"/>
          <w:shd w:val="clear" w:color="auto" w:fill="FFFFFF"/>
        </w:rPr>
        <w:t xml:space="preserve">We would like to thank the following for their valuable feedback on various iterations of this paper: the anonymous reviewers of this journal; attendees of a panel discussion at the 2018 World Congress of Bioethics; and the other members of the Working Group on Big Data Ethics convened by the Centre for Biomedical Ethics, National University of Singapore, who have given substantial input on the material from which this paper </w:t>
      </w:r>
      <w:r w:rsidRPr="008E6084">
        <w:rPr>
          <w:rFonts w:ascii="Times New Roman" w:hAnsi="Times New Roman" w:cs="Times New Roman"/>
          <w:color w:val="1C1D1E"/>
          <w:shd w:val="clear" w:color="auto" w:fill="FFFFFF"/>
        </w:rPr>
        <w:t>‐</w:t>
      </w:r>
      <w:r w:rsidRPr="008E6084">
        <w:rPr>
          <w:rFonts w:ascii="Century Schoolbook" w:hAnsi="Century Schoolbook" w:cs="Arial"/>
          <w:color w:val="1C1D1E"/>
          <w:shd w:val="clear" w:color="auto" w:fill="FFFFFF"/>
        </w:rPr>
        <w:t xml:space="preserve"> Angela Ballantyne, Iain Brassington, Markus Labude, Graeme Laurie, Hannah Yee Fen Lim, Wendy Lipworth, Tamra Lysaght, Cameron Stewart, and Vicki Xafis.</w:t>
      </w:r>
    </w:p>
    <w:p w14:paraId="59F35799" w14:textId="35078036" w:rsidR="00001A80" w:rsidRPr="008E6084" w:rsidRDefault="00001A80" w:rsidP="006A3C89">
      <w:pPr>
        <w:spacing w:line="276" w:lineRule="auto"/>
        <w:jc w:val="both"/>
        <w:rPr>
          <w:rFonts w:ascii="Century Schoolbook" w:hAnsi="Century Schoolbook" w:cs="Arial"/>
          <w:b/>
          <w:bCs/>
          <w:color w:val="1C1D1E"/>
          <w:u w:val="single"/>
          <w:shd w:val="clear" w:color="auto" w:fill="FFFFFF"/>
        </w:rPr>
      </w:pPr>
      <w:r w:rsidRPr="008E6084">
        <w:rPr>
          <w:rFonts w:ascii="Century Schoolbook" w:hAnsi="Century Schoolbook" w:cs="Arial"/>
          <w:b/>
          <w:bCs/>
          <w:color w:val="1C1D1E"/>
          <w:u w:val="single"/>
          <w:shd w:val="clear" w:color="auto" w:fill="FFFFFF"/>
        </w:rPr>
        <w:t>Funding Information</w:t>
      </w:r>
    </w:p>
    <w:p w14:paraId="7BCE555B" w14:textId="5993D4F4" w:rsidR="00001A80" w:rsidRPr="008E6084" w:rsidRDefault="00001A80" w:rsidP="006A3C89">
      <w:pPr>
        <w:spacing w:line="276" w:lineRule="auto"/>
        <w:jc w:val="both"/>
        <w:rPr>
          <w:rFonts w:ascii="Century Schoolbook" w:hAnsi="Century Schoolbook" w:cstheme="majorBidi"/>
          <w:color w:val="333333"/>
          <w:shd w:val="clear" w:color="auto" w:fill="FFFFFF"/>
        </w:rPr>
      </w:pPr>
      <w:r w:rsidRPr="008E6084">
        <w:rPr>
          <w:rFonts w:ascii="Century Schoolbook" w:hAnsi="Century Schoolbook" w:cstheme="majorBidi"/>
          <w:color w:val="333333"/>
          <w:shd w:val="clear" w:color="auto" w:fill="FFFFFF"/>
        </w:rPr>
        <w:t>GOS’s contribution was supported by the National Medical Research Council, Funding Initiative Grant: Science Health and Policy-Relevant Ethics in Singapore (SHAPES)</w:t>
      </w:r>
    </w:p>
    <w:sectPr w:rsidR="00001A80" w:rsidRPr="008E60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5125" w14:textId="77777777" w:rsidR="00F93576" w:rsidRDefault="00F93576" w:rsidP="008A5A1D">
      <w:pPr>
        <w:spacing w:after="0" w:line="240" w:lineRule="auto"/>
      </w:pPr>
      <w:r>
        <w:separator/>
      </w:r>
    </w:p>
  </w:endnote>
  <w:endnote w:type="continuationSeparator" w:id="0">
    <w:p w14:paraId="04819F4F" w14:textId="77777777" w:rsidR="00F93576" w:rsidRDefault="00F93576" w:rsidP="008A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Regular">
    <w:altName w:val="Lato"/>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01799"/>
      <w:docPartObj>
        <w:docPartGallery w:val="Page Numbers (Bottom of Page)"/>
        <w:docPartUnique/>
      </w:docPartObj>
    </w:sdtPr>
    <w:sdtEndPr>
      <w:rPr>
        <w:noProof/>
      </w:rPr>
    </w:sdtEndPr>
    <w:sdtContent>
      <w:p w14:paraId="6206B259" w14:textId="49D9165E" w:rsidR="00463DA8" w:rsidRDefault="00463DA8">
        <w:pPr>
          <w:pStyle w:val="Footer"/>
          <w:jc w:val="center"/>
        </w:pPr>
        <w:r>
          <w:fldChar w:fldCharType="begin"/>
        </w:r>
        <w:r>
          <w:instrText xml:space="preserve"> PAGE   \* MERGEFORMAT </w:instrText>
        </w:r>
        <w:r>
          <w:fldChar w:fldCharType="separate"/>
        </w:r>
        <w:r w:rsidR="00E73970">
          <w:rPr>
            <w:noProof/>
          </w:rPr>
          <w:t>1</w:t>
        </w:r>
        <w:r>
          <w:rPr>
            <w:noProof/>
          </w:rPr>
          <w:fldChar w:fldCharType="end"/>
        </w:r>
      </w:p>
    </w:sdtContent>
  </w:sdt>
  <w:p w14:paraId="61D906A6" w14:textId="77777777" w:rsidR="00463DA8" w:rsidRDefault="0046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5509" w14:textId="77777777" w:rsidR="00F93576" w:rsidRDefault="00F93576" w:rsidP="008A5A1D">
      <w:pPr>
        <w:spacing w:after="0" w:line="240" w:lineRule="auto"/>
      </w:pPr>
      <w:r>
        <w:separator/>
      </w:r>
    </w:p>
  </w:footnote>
  <w:footnote w:type="continuationSeparator" w:id="0">
    <w:p w14:paraId="78593A47" w14:textId="77777777" w:rsidR="00F93576" w:rsidRDefault="00F93576" w:rsidP="008A5A1D">
      <w:pPr>
        <w:spacing w:after="0" w:line="240" w:lineRule="auto"/>
      </w:pPr>
      <w:r>
        <w:continuationSeparator/>
      </w:r>
    </w:p>
  </w:footnote>
  <w:footnote w:id="1">
    <w:p w14:paraId="0E96A0AE" w14:textId="64794820"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{"citationID":"b25eDyr1","properties":{"formattedCitation":"Mills, J.R. (2017). Precision Medicine\\uc0\\u8212{}Right Treatment, Right Patient, Right Time, Wrong Approach? {\\i{}Clinical Chemistry}. {\\i{}63}(4), 928\\uc0\\u8211{}929. https://doi.org/10.1373/clinchem.2016.267963National Academies of Sciences, Engineering, and Medicine. (2016). Biomarker Tests For Molecularly Targeted Therapies: Key to Unlocking Precision Medicine. Washington, DC: National Academies Press.Trivedi, M.H. (2016). Right patient, right treatment, right time: biosignatures and precision medicine in depression. {\\i{}World Psychiatry}. {\\i{}15}(3), 237\\uc0\\u8211{}238. https://doi.org/10.1002/wps.20371","plainCitation":"Mills, J.R. (2017). Precision Medicine—Right Treatment, Right Patient, Right Time, Wrong Approach? Clinical Chemistry. 63(4), 928–929. https://doi.org/10.1373/clinchem.2016.267963National Academies of Sciences, Engineering, and Medicine. (2016). Biomarker Tests For Molecularly Targeted Therapies: Key to Unlocking Precision Medicine. Washington, DC: National Academies Press.Trivedi, M.H. (2016). Right patient, right treatment, right time: biosignatures and precision medicine in depression. World Psychiatry. 15(3), 237–238. https://doi.org/10.1002/wps.20371","dontUpdate":true,"noteIndex":1},"citationItems":[{"id":1503,"uris":["http://zotero.org/users/1170976/items/59SCGWJR"],"uri":["http://zotero.org/users/1170976/items/59SCGWJR"],"itemData":{"id":1503,"type":"article-journal","container-title":"Clinical Chemistry","DOI":"10.1373/clinchem.2016.267963","ISSN":"0009-9147, 1530-8561","issue":"4","language":"en","page":"928-929","source":"Crossref","title":"Precision Medicine—Right Treatment, Right Patient, Right Time, Wrong Approach?","volume":"63","author":[{"family":"Mills","given":"John R."}],"issued":{"date-parts":[["2017",4]]}}},{"id":1504,"uris":["http://zotero.org/users/1170976/items/7MCQQTVP"],"uri":["http://zotero.org/users/1170976/items/7MCQQTVP"],"itemData":{"id":1504,"type":"article-journal","container-title":"World Psychiatry","DOI":"10.1002/wps.20371","ISSN":"17238617","issue":"3","language":"en","page":"237-238","source":"Crossref","title":"Right patient, right treatment, right time: biosignatures and precision medicine in depression","title-short":"Right patient, right treatment, right time","volume":"15","author":[{"family":"Trivedi","given":"Madhukar H."}],"issued":{"date-parts":[["2016",10]]}}},{"id":1505,"uris":["http://zotero.org/users/1170976/items/AGKIUHAE"],"uri":["http://zotero.org/users/1170976/items/AGKIUHAE"],"itemData":{"id":1505,"type":"book","event-place":"Washington, DC","publisher":"National Academies Press","publisher-place":"Washington, DC","title":"Biomarker Tests For Molecularly Targeted Therapies: Key to Unlocking Precision Medicine","author":[{"family":"National Academies of Sciences, Engineering, and Medicine","given":""}],"issued":{"date-parts":[["2016"]]}}}],"schema":"https://github.com/citation-style-language/schema/raw/master/csl-citation.json"}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Mills, J.R. (2017). Precision Medicine—Right Treatment, Right Patient, Right Time, Wrong Approach? </w:t>
      </w:r>
      <w:r w:rsidRPr="00CB0133">
        <w:rPr>
          <w:rFonts w:asciiTheme="majorBidi" w:hAnsiTheme="majorBidi" w:cstheme="majorBidi"/>
          <w:i/>
          <w:iCs/>
        </w:rPr>
        <w:t>Clinical Chemistry</w:t>
      </w:r>
      <w:r w:rsidRPr="00CB0133">
        <w:rPr>
          <w:rFonts w:asciiTheme="majorBidi" w:hAnsiTheme="majorBidi" w:cstheme="majorBidi"/>
        </w:rPr>
        <w:t xml:space="preserve">. </w:t>
      </w:r>
      <w:r w:rsidRPr="00CB0133">
        <w:rPr>
          <w:rFonts w:asciiTheme="majorBidi" w:hAnsiTheme="majorBidi" w:cstheme="majorBidi"/>
          <w:i/>
          <w:iCs/>
        </w:rPr>
        <w:t>63</w:t>
      </w:r>
      <w:r w:rsidRPr="00CB0133">
        <w:rPr>
          <w:rFonts w:asciiTheme="majorBidi" w:hAnsiTheme="majorBidi" w:cstheme="majorBidi"/>
        </w:rPr>
        <w:t>(4), 928–929. https://doi.org/10.1373/clinchem.2016.267963</w:t>
      </w:r>
      <w:r w:rsidR="0061167D" w:rsidRPr="00CB0133">
        <w:rPr>
          <w:rFonts w:asciiTheme="majorBidi" w:hAnsiTheme="majorBidi" w:cstheme="majorBidi"/>
        </w:rPr>
        <w:t xml:space="preserve">; </w:t>
      </w:r>
      <w:r w:rsidRPr="00CB0133">
        <w:rPr>
          <w:rFonts w:asciiTheme="majorBidi" w:hAnsiTheme="majorBidi" w:cstheme="majorBidi"/>
        </w:rPr>
        <w:t>National Academies of Sciences, Engineering, and Medicine. (2016). Biomarker Tests For Molecularly Targeted Therapies: Key to Unlocking Precision Medicine. Washington, DC: National Academies Press.</w:t>
      </w:r>
      <w:r w:rsidR="0061167D" w:rsidRPr="00CB0133">
        <w:rPr>
          <w:rFonts w:asciiTheme="majorBidi" w:hAnsiTheme="majorBidi" w:cstheme="majorBidi"/>
        </w:rPr>
        <w:t xml:space="preserve">; </w:t>
      </w:r>
      <w:r w:rsidRPr="00CB0133">
        <w:rPr>
          <w:rFonts w:asciiTheme="majorBidi" w:hAnsiTheme="majorBidi" w:cstheme="majorBidi"/>
        </w:rPr>
        <w:t xml:space="preserve">Trivedi, M.H. (2016). Right patient, right treatment, right time: biosignatures and precision medicine in depression. </w:t>
      </w:r>
      <w:r w:rsidRPr="00CB0133">
        <w:rPr>
          <w:rFonts w:asciiTheme="majorBidi" w:hAnsiTheme="majorBidi" w:cstheme="majorBidi"/>
          <w:i/>
          <w:iCs/>
        </w:rPr>
        <w:t>World Psychiatry</w:t>
      </w:r>
      <w:r w:rsidRPr="00CB0133">
        <w:rPr>
          <w:rFonts w:asciiTheme="majorBidi" w:hAnsiTheme="majorBidi" w:cstheme="majorBidi"/>
        </w:rPr>
        <w:t xml:space="preserve">. </w:t>
      </w:r>
      <w:r w:rsidRPr="00CB0133">
        <w:rPr>
          <w:rFonts w:asciiTheme="majorBidi" w:hAnsiTheme="majorBidi" w:cstheme="majorBidi"/>
          <w:i/>
          <w:iCs/>
        </w:rPr>
        <w:t>15</w:t>
      </w:r>
      <w:r w:rsidRPr="00CB0133">
        <w:rPr>
          <w:rFonts w:asciiTheme="majorBidi" w:hAnsiTheme="majorBidi" w:cstheme="majorBidi"/>
        </w:rPr>
        <w:t>(3), 237–238. https://doi.org/10.1002/wps.20371</w:t>
      </w:r>
      <w:r w:rsidRPr="00CB0133">
        <w:rPr>
          <w:rFonts w:asciiTheme="majorBidi" w:hAnsiTheme="majorBidi" w:cstheme="majorBidi"/>
        </w:rPr>
        <w:fldChar w:fldCharType="end"/>
      </w:r>
    </w:p>
  </w:footnote>
  <w:footnote w:id="2">
    <w:p w14:paraId="531E8041" w14:textId="3FFEE740" w:rsidR="00463DA8" w:rsidRPr="00CB0133" w:rsidRDefault="00463DA8">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{"citationID":"8e4CtITX","properties":{"formattedCitation":"Duster, T. (2006). Lessons from History: Why Race and Ethnicity Have Played a Major Role in Biomedical Research. {\\i{}The Journal of Law, Medicine &amp; Ethics}. {\\i{}34}(3), 487\\uc0\\u8211{}496. https://doi.org/10.1111/j.1748-720X.2006.00060.x","plainCitation":"Duster, T. (2006). Lessons from History: Why Race and Ethnicity Have Played a Major Role in Biomedical Research. The Journal of Law, Medicine &amp; Ethics. 34(3), 487–496. https://doi.org/10.1111/j.1748-720X.2006.00060.x","noteIndex":2},"citationItems":[{"id":1760,"uris":["http://zotero.org/users/1170976/items/AAKL6YTJ"],"uri":["http://zotero.org/users/1170976/items/AAKL6YTJ"],"itemData":{"id":1760,"type":"article-journal","container-title":"The Journal of Law, Medicine &amp; Ethics","DOI":"10.1111/j.1748-720X.2006.00060.x","ISSN":"1073-1105, 1748-720X","issue":"3","language":"en","page":"487-496","source":"Crossref","title":"Lessons from History: Why Race and Ethnicity Have Played a Major Role in Biomedical Research","title-short":"Lessons from History","volume":"34","author":[{"family":"Duster","given":"Troy"}],"issued":{"date-parts":[["2006",9]]}}}],"schema":"https://github.com/citation-style-language/schema/raw/master/csl-citation.json"}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Duster, T. (2006). Lessons from History: Why Race and Ethnicity Have Played a Major Role in Biomedical Research. </w:t>
      </w:r>
      <w:r w:rsidRPr="00CB0133">
        <w:rPr>
          <w:rFonts w:asciiTheme="majorBidi" w:hAnsiTheme="majorBidi" w:cstheme="majorBidi"/>
          <w:i/>
          <w:iCs/>
        </w:rPr>
        <w:t>The Journal of Law, Medicine &amp; Ethics</w:t>
      </w:r>
      <w:r w:rsidRPr="00CB0133">
        <w:rPr>
          <w:rFonts w:asciiTheme="majorBidi" w:hAnsiTheme="majorBidi" w:cstheme="majorBidi"/>
        </w:rPr>
        <w:t xml:space="preserve">. </w:t>
      </w:r>
      <w:r w:rsidRPr="00CB0133">
        <w:rPr>
          <w:rFonts w:asciiTheme="majorBidi" w:hAnsiTheme="majorBidi" w:cstheme="majorBidi"/>
          <w:i/>
          <w:iCs/>
        </w:rPr>
        <w:t>34</w:t>
      </w:r>
      <w:r w:rsidRPr="00CB0133">
        <w:rPr>
          <w:rFonts w:asciiTheme="majorBidi" w:hAnsiTheme="majorBidi" w:cstheme="majorBidi"/>
        </w:rPr>
        <w:t>(3), 487–496. https://doi.org/10.1111/j.1748-720X.2006.00060.x</w:t>
      </w:r>
      <w:r w:rsidRPr="00CB0133">
        <w:rPr>
          <w:rFonts w:asciiTheme="majorBidi" w:hAnsiTheme="majorBidi" w:cstheme="majorBidi"/>
        </w:rPr>
        <w:fldChar w:fldCharType="end"/>
      </w:r>
    </w:p>
  </w:footnote>
  <w:footnote w:id="3">
    <w:p w14:paraId="17F72F13" w14:textId="15DAEC08" w:rsidR="00463DA8" w:rsidRPr="00CB0133" w:rsidRDefault="00463DA8">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{"citationID":"AC8zTcTD","properties":{"formattedCitation":"Turda, M. (2012). Race, Science, and Eugenics in the Twentieth Century. (A. Bashford &amp; P. Levine, Eds.) (Vol. 1). Oxford University Press. https://doi.org/10.1093/oxfordhb/9780195373141.013.0004","plainCitation":"Turda, M. (2012). Race, Science, and Eugenics in the Twentieth Century. (A. Bashford &amp; P. Levine, Eds.) (Vol. 1). Oxford University Press. https://doi.org/10.1093/oxfordhb/9780195373141.013.0004","noteIndex":3},"citationItems":[{"id":1759,"uris":["http://zotero.org/users/1170976/items/BTDLPYTV"],"uri":["http://zotero.org/users/1170976/items/BTDLPYTV"],"itemData":{"id":1759,"type":"book","language":"en","note":"DOI: 10.1093/oxfordhb/9780195373141.013.0004","publisher":"Oxford University Press","source":"Crossref","title":"Race, Science, and Eugenics in the Twentieth Century","URL":"http://oxfordhandbooks.com/view/10.1093/oxfordhb/9780195373141.001.0001/oxfordhb-9780195373141-e-4","volume":"1","editor":[{"family":"Bashford","given":"Alison"},{"family":"Levine","given":"Philippa"}],"author":[{"family":"Turda","given":"Marius"}],"accessed":{"date-parts":[["2019",11,15]]},"issued":{"date-parts":[["2012",9,18]]}}}],"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Turda, M. (2012). Race, Science, and Eugenics in the Twentieth Century. (A. Bashford &amp; P. Levine, Eds.) (Vol. 1). Oxford University Press. https://doi.org/10.1093/oxfordhb/9780195373141.013.0004</w:t>
      </w:r>
      <w:r w:rsidRPr="00CB0133">
        <w:rPr>
          <w:rFonts w:asciiTheme="majorBidi" w:hAnsiTheme="majorBidi" w:cstheme="majorBidi"/>
        </w:rPr>
        <w:fldChar w:fldCharType="end"/>
      </w:r>
    </w:p>
  </w:footnote>
  <w:footnote w:id="4">
    <w:p w14:paraId="4E506798" w14:textId="6073BBEA"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{"citationID":"fQHGWN4g","properties":{"formattedCitation":"Hampshire, S. (1999). Justice is Conflict. London: Duckworth.","plainCitation":"Hampshire, S. (1999). Justice is Conflict. London: Duckworth.","noteIndex":4},"citationItems":[{"id":1512,"uris":["http://zotero.org/users/1170976/items/82T86FDD"],"uri":["http://zotero.org/users/1170976/items/82T86FDD"],"itemData":{"id":1512,"type":"book","event-place":"London","publisher":"Duckworth","publisher-place":"London","title":"Justice is Conflict","author":[{"family":"Hampshire","given":"Stuart"}],"issued":{"date-parts":[["1999"]]}}}],"schema":"https://github.com/citation-style-language/schema/raw/master/csl-citation.json"}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Hampshire, S. (1999). Justice is Conflict. London: Duckworth.</w:t>
      </w:r>
      <w:r w:rsidRPr="00CB0133">
        <w:rPr>
          <w:rFonts w:asciiTheme="majorBidi" w:hAnsiTheme="majorBidi" w:cstheme="majorBidi"/>
        </w:rPr>
        <w:fldChar w:fldCharType="end"/>
      </w:r>
    </w:p>
  </w:footnote>
  <w:footnote w:id="5">
    <w:p w14:paraId="698AED16" w14:textId="34720C28"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{"citationID":"MunNpSn4","properties":{"formattedCitation":"Sleat, M. (2015). Justice and Legitimacy in Contemporary Liberal Thought. {\\i{}Social Theory and Practice}. {\\i{}41}(2), 230\\uc0\\u8211{}252.","plainCitation":"Sleat, M. (2015). Justice and Legitimacy in Contemporary Liberal Thought. Social Theory and Practice. 41(2), 230–252.","noteIndex":5},"citationItems":[{"id":1513,"uris":["http://zotero.org/users/1170976/items/V9F2BKAK"],"uri":["http://zotero.org/users/1170976/items/V9F2BKAK"],"itemData":{"id":1513,"type":"article-journal","container-title":"Social Theory and Practice","issue":"2","page":"230-252","title":"Justice and Legitimacy in Contemporary Liberal Thought","volume":"41","author":[{"family":"Sleat","given":"Matt"}],"issued":{"date-parts":[["2015"]]}}}],"schema":"https://github.com/citation-style-language/schema/raw/master/csl-citation.json"}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Sleat, M. (2015). Justice and Legitimacy in Contemporary Liberal Thought. </w:t>
      </w:r>
      <w:r w:rsidRPr="00CB0133">
        <w:rPr>
          <w:rFonts w:asciiTheme="majorBidi" w:hAnsiTheme="majorBidi" w:cstheme="majorBidi"/>
          <w:i/>
          <w:iCs/>
        </w:rPr>
        <w:t>Social Theory and Practice</w:t>
      </w:r>
      <w:r w:rsidRPr="00CB0133">
        <w:rPr>
          <w:rFonts w:asciiTheme="majorBidi" w:hAnsiTheme="majorBidi" w:cstheme="majorBidi"/>
        </w:rPr>
        <w:t xml:space="preserve">. </w:t>
      </w:r>
      <w:r w:rsidRPr="00CB0133">
        <w:rPr>
          <w:rFonts w:asciiTheme="majorBidi" w:hAnsiTheme="majorBidi" w:cstheme="majorBidi"/>
          <w:i/>
          <w:iCs/>
        </w:rPr>
        <w:t>41</w:t>
      </w:r>
      <w:r w:rsidRPr="00CB0133">
        <w:rPr>
          <w:rFonts w:asciiTheme="majorBidi" w:hAnsiTheme="majorBidi" w:cstheme="majorBidi"/>
        </w:rPr>
        <w:t>(2), 230–252.</w:t>
      </w:r>
      <w:r w:rsidRPr="00CB0133">
        <w:rPr>
          <w:rFonts w:asciiTheme="majorBidi" w:hAnsiTheme="majorBidi" w:cstheme="majorBidi"/>
        </w:rPr>
        <w:fldChar w:fldCharType="end"/>
      </w:r>
    </w:p>
  </w:footnote>
  <w:footnote w:id="6">
    <w:p w14:paraId="4EAF0B40" w14:textId="74ACDDA0"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{"citationID":"Cp1jktei","properties":{"formattedCitation":"Cohn, E.G., Henderson, G.E., &amp; Appelbaum, P.S. (2017). Distributive justice, diversity, and inclusion in precision medicine: what will success look like? {\\i{}Genetics in Medicine}. {\\i{}19}(2), 157\\uc0\\u8211{}159. https://doi.org/10.1038/gim.2016.92Fleck, L.M. (2014). Just caring: Assessing the ethical and economic costs of personalized medicine. {\\i{}Urologic Oncology: Seminars and Original Investigations}. {\\i{}32}(2), 202\\uc0\\u8211{}206. https://doi.org/10.1016/j.urolonc.2013.09.013Knoppers, B.M., Harris, J.R., Budin-Lj\\uc0\\u248{}sne, I., &amp; Dove, E.S. (2014). A human rights approach to an international code of conduct for genomic and clinical data sharing. {\\i{}Human Genetics}. {\\i{}133}(7), 895\\uc0\\u8211{}903. https://doi.org/10.1007/s00439-014-1432-6","plainCitation":"Cohn, E.G., Henderson, G.E., &amp; Appelbaum, P.S. (2017). Distributive justice, diversity, and inclusion in precision medicine: what will success look like? Genetics in Medicine. 19(2), 157–159. https://doi.org/10.1038/gim.2016.92Fleck, L.M. (2014). Just caring: Assessing the ethical and economic costs of personalized medicine. Urologic Oncology: Seminars and Original Investigations. 32(2), 202–206. https://doi.org/10.1016/j.urolonc.2013.09.013Knoppers, B.M., Harris, J.R., Budin-Ljøsne, I., &amp; Dove, E.S. (2014). A human rights approach to an international code of conduct for genomic and clinical data sharing. Human Genetics. 133(7), 895–903. https://doi.org/10.1007/s00439-014-1432-6","dontUpdate":true,"noteIndex":6},"citationItems":[{"id":1511,"uris":["http://zotero.org/users/1170976/items/D6IT87UR"],"uri":["http://zotero.org/users/1170976/items/D6IT87UR"],"itemData":{"id":1511,"type":"article-journal","container-title":"Genetics in Medicine","DOI":"10.1038/gim.2016.92","ISSN":"1098-3600, 1530-0366","issue":"2","page":"157-159","source":"Crossref","title":"Distributive justice, diversity, and inclusion in precision medicine: what will success look like?","title-short":"Distributive justice, diversity, and inclusion in precision medicine","volume":"19","author":[{"family":"Cohn","given":"Elizabeth G."},{"family":"Henderson","given":"Gail E."},{"family":"Appelbaum","given":"Paul S."}],"issued":{"date-parts":[["2017",2]]}}},{"id":1514,"uris":["http://zotero.org/users/1170976/items/ZTDEK339"],"uri":["http://zotero.org/users/1170976/items/ZTDEK339"],"itemData":{"id":1514,"type":"article-journal","container-title":"Urologic Oncology: Seminars and Original Investigations","DOI":"10.1016/j.urolonc.2013.09.013","ISSN":"10781439","issue":"2","language":"en","page":"202-206","source":"Crossref","title":"Just caring: Assessing the ethical and economic costs of personalized medicine","title-short":"Just caring","volume":"32","author":[{"family":"Fleck","given":"Leonard M."}],"issued":{"date-parts":[["2014",2]]}}},{"id":1515,"uris":["http://zotero.org/users/1170976/items/357EAXVN"],"uri":["http://zotero.org/users/1170976/items/357EAXVN"],"itemData":{"id":1515,"type":"article-journal","container-title":"Human Genetics","DOI":"10.1007/s00439-014-1432-6","ISSN":"0340-6717, 1432-1203","issue":"7","language":"en","page":"895-903","source":"Crossref","title":"A human rights approach to an international code of conduct for genomic and clinical data sharing","volume":"133","author":[{"family":"Knoppers","given":"Bartha M."},{"family":"Harris","given":"Jennifer R."},{"family":"Budin-Ljøsne","given":"Isabelle"},{"family":"Dove","given":"Edward S."}],"issued":{"date-parts":[["2014",7]]}}}],"schema":"https://github.com/citation-style-language/schema/raw/master/csl-citation.json"}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Cohn, E.G., Henderson, G.E., &amp; Appelbaum, P.S. (2017). Distributive justice, diversity, and inclusion in precision medicine: what will success look like? </w:t>
      </w:r>
      <w:r w:rsidRPr="00CB0133">
        <w:rPr>
          <w:rFonts w:asciiTheme="majorBidi" w:hAnsiTheme="majorBidi" w:cstheme="majorBidi"/>
          <w:i/>
          <w:iCs/>
        </w:rPr>
        <w:t>Genetics in Medicine</w:t>
      </w:r>
      <w:r w:rsidRPr="00CB0133">
        <w:rPr>
          <w:rFonts w:asciiTheme="majorBidi" w:hAnsiTheme="majorBidi" w:cstheme="majorBidi"/>
        </w:rPr>
        <w:t xml:space="preserve">. </w:t>
      </w:r>
      <w:r w:rsidRPr="00CB0133">
        <w:rPr>
          <w:rFonts w:asciiTheme="majorBidi" w:hAnsiTheme="majorBidi" w:cstheme="majorBidi"/>
          <w:i/>
          <w:iCs/>
        </w:rPr>
        <w:t>19</w:t>
      </w:r>
      <w:r w:rsidRPr="00CB0133">
        <w:rPr>
          <w:rFonts w:asciiTheme="majorBidi" w:hAnsiTheme="majorBidi" w:cstheme="majorBidi"/>
        </w:rPr>
        <w:t>(2), 157–159. https://doi.org/10.1038/gim.2016.92</w:t>
      </w:r>
      <w:r w:rsidR="0061167D" w:rsidRPr="00CB0133">
        <w:rPr>
          <w:rFonts w:asciiTheme="majorBidi" w:hAnsiTheme="majorBidi" w:cstheme="majorBidi"/>
        </w:rPr>
        <w:t xml:space="preserve">; </w:t>
      </w:r>
      <w:r w:rsidRPr="00CB0133">
        <w:rPr>
          <w:rFonts w:asciiTheme="majorBidi" w:hAnsiTheme="majorBidi" w:cstheme="majorBidi"/>
        </w:rPr>
        <w:t xml:space="preserve">Fleck, L.M. (2014). Just caring: Assessing the ethical and economic costs of personalized medicine. </w:t>
      </w:r>
      <w:r w:rsidRPr="00CB0133">
        <w:rPr>
          <w:rFonts w:asciiTheme="majorBidi" w:hAnsiTheme="majorBidi" w:cstheme="majorBidi"/>
          <w:i/>
          <w:iCs/>
        </w:rPr>
        <w:t>Urologic Oncology: Seminars and Original Investigations</w:t>
      </w:r>
      <w:r w:rsidRPr="00CB0133">
        <w:rPr>
          <w:rFonts w:asciiTheme="majorBidi" w:hAnsiTheme="majorBidi" w:cstheme="majorBidi"/>
        </w:rPr>
        <w:t xml:space="preserve">. </w:t>
      </w:r>
      <w:r w:rsidRPr="00CB0133">
        <w:rPr>
          <w:rFonts w:asciiTheme="majorBidi" w:hAnsiTheme="majorBidi" w:cstheme="majorBidi"/>
          <w:i/>
          <w:iCs/>
        </w:rPr>
        <w:t>32</w:t>
      </w:r>
      <w:r w:rsidRPr="00CB0133">
        <w:rPr>
          <w:rFonts w:asciiTheme="majorBidi" w:hAnsiTheme="majorBidi" w:cstheme="majorBidi"/>
        </w:rPr>
        <w:t>(2), 202–206. https://doi.org/10.1016/j.urolonc.2013.09.013</w:t>
      </w:r>
      <w:r w:rsidR="0061167D" w:rsidRPr="00CB0133">
        <w:rPr>
          <w:rFonts w:asciiTheme="majorBidi" w:hAnsiTheme="majorBidi" w:cstheme="majorBidi"/>
        </w:rPr>
        <w:t xml:space="preserve">; </w:t>
      </w:r>
      <w:r w:rsidRPr="00CB0133">
        <w:rPr>
          <w:rFonts w:asciiTheme="majorBidi" w:hAnsiTheme="majorBidi" w:cstheme="majorBidi"/>
        </w:rPr>
        <w:t xml:space="preserve">Knoppers, B.M., Harris, J.R., Budin-Ljøsne, I., &amp; Dove, E.S. (2014). A human rights approach to an international code of conduct for genomic and clinical data sharing. </w:t>
      </w:r>
      <w:r w:rsidRPr="00CB0133">
        <w:rPr>
          <w:rFonts w:asciiTheme="majorBidi" w:hAnsiTheme="majorBidi" w:cstheme="majorBidi"/>
          <w:i/>
          <w:iCs/>
        </w:rPr>
        <w:t>Human Genetics</w:t>
      </w:r>
      <w:r w:rsidRPr="00CB0133">
        <w:rPr>
          <w:rFonts w:asciiTheme="majorBidi" w:hAnsiTheme="majorBidi" w:cstheme="majorBidi"/>
        </w:rPr>
        <w:t xml:space="preserve">. </w:t>
      </w:r>
      <w:r w:rsidRPr="00CB0133">
        <w:rPr>
          <w:rFonts w:asciiTheme="majorBidi" w:hAnsiTheme="majorBidi" w:cstheme="majorBidi"/>
          <w:i/>
          <w:iCs/>
        </w:rPr>
        <w:t>133</w:t>
      </w:r>
      <w:r w:rsidRPr="00CB0133">
        <w:rPr>
          <w:rFonts w:asciiTheme="majorBidi" w:hAnsiTheme="majorBidi" w:cstheme="majorBidi"/>
        </w:rPr>
        <w:t>(7), 895–903. https://doi.org/10.1007/s00439-014-1432-6</w:t>
      </w:r>
      <w:r w:rsidRPr="00CB0133">
        <w:rPr>
          <w:rFonts w:asciiTheme="majorBidi" w:hAnsiTheme="majorBidi" w:cstheme="majorBidi"/>
        </w:rPr>
        <w:fldChar w:fldCharType="end"/>
      </w:r>
    </w:p>
  </w:footnote>
  <w:footnote w:id="7">
    <w:p w14:paraId="15671379" w14:textId="21F24B3F"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{"citationID":"Nz9XPYvC","properties":{"formattedCitation":"Huser, V., Sincan, M., &amp; Cimino, J. (2014). Developing genomic knowledge bases and databases to support clinical management: current perspectives. {\\i{}Pharmacogenomics and Personalized Medicine}. 275. https://doi.org/10.2147/PGPM.S49904","plainCitation":"Huser, V., Sincan, M., &amp; Cimino, J. (2014). Developing genomic knowledge bases and databases to support clinical management: current perspectives. Pharmacogenomics and Personalized Medicine. 275. https://doi.org/10.2147/PGPM.S49904","noteIndex":7},"citationItems":[{"id":1530,"uris":["http://zotero.org/users/1170976/items/KB4M8P8I"],"uri":["http://zotero.org/users/1170976/items/KB4M8P8I"],"itemData":{"id":1530,"type":"article-journal","container-title":"Pharmacogenomics and Personalized Medicine","DOI":"10.2147/PGPM.S49904","ISSN":"1178-7066","language":"en","page":"275","source":"Crossref","title":"Developing genomic knowledge bases and databases to support clinical management: current perspectives","title-short":"Developing genomic knowledge bases and databases to support clinical management","author":[{"family":"Huser","given":"Vojtech"},{"family":"Sincan","given":"Murat"},{"family":"Cimino","given":"James"}],"issued":{"date-parts":[["2014",9]]}}}],"schema":"https://github.com/citation-style-language/schema/raw/master/csl-citation.json"}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Huser, V., Sincan, M., &amp; Cimino, J. (2014). Developing genomic knowledge bases and databases to support clinical management: current perspectives. </w:t>
      </w:r>
      <w:r w:rsidRPr="00CB0133">
        <w:rPr>
          <w:rFonts w:asciiTheme="majorBidi" w:hAnsiTheme="majorBidi" w:cstheme="majorBidi"/>
          <w:i/>
          <w:iCs/>
        </w:rPr>
        <w:t>Pharmacogenomics and Personalized Medicine</w:t>
      </w:r>
      <w:r w:rsidRPr="00CB0133">
        <w:rPr>
          <w:rFonts w:asciiTheme="majorBidi" w:hAnsiTheme="majorBidi" w:cstheme="majorBidi"/>
        </w:rPr>
        <w:t>. 275. https://doi.org/10.2147/PGPM.S49904</w:t>
      </w:r>
      <w:r w:rsidRPr="00CB0133">
        <w:rPr>
          <w:rFonts w:asciiTheme="majorBidi" w:hAnsiTheme="majorBidi" w:cstheme="majorBidi"/>
        </w:rPr>
        <w:fldChar w:fldCharType="end"/>
      </w:r>
    </w:p>
  </w:footnote>
  <w:footnote w:id="8">
    <w:p w14:paraId="72975461" w14:textId="33C6DD1B"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{"citationID":"o7nuGm5n","properties":{"formattedCitation":"Snow, D.A., Soule, S.A., &amp; Kriesi, H. (Eds.). (2004). The Blackwell companion to social movements. Malden, MA: Blackwell Pub.","plainCitation":"Snow, D.A., Soule, S.A., &amp; Kriesi, H. (Eds.). (2004). The Blackwell companion to social movements. Malden, MA: Blackwell Pub.","noteIndex":8},"citationItems":[{"id":1517,"uris":["http://zotero.org/users/1170976/items/AIZMBQZM"],"uri":["http://zotero.org/users/1170976/items/AIZMBQZM"],"itemData":{"id":1517,"type":"book","call-number":"HM881 .B53 2004","collection-title":"Blackwell companions to sociology","event-place":"Malden, MA","ISBN":"978-0-631-22669-7","number-of-pages":"754","publisher":"Blackwell Pub","publisher-place":"Malden, MA","source":"Library of Congress ISBN","title":"The Blackwell companion to social movements","editor":[{"family":"Snow","given":"David A."},{"family":"Soule","given":"Sarah Anne"},{"family":"Kriesi","given":"Hanspeter"}],"issued":{"date-parts":[["2004"]]}}}],"schema":"https://github.com/citation-style-language/schema/raw/master/csl-citation.json"}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Snow, D.A., Soule, S.A., &amp; Kriesi, H. (Eds.). (2004). The Blackwell companion to social movements. Malden, MA: Blackwell Pub.</w:t>
      </w:r>
      <w:r w:rsidRPr="00CB0133">
        <w:rPr>
          <w:rFonts w:asciiTheme="majorBidi" w:hAnsiTheme="majorBidi" w:cstheme="majorBidi"/>
        </w:rPr>
        <w:fldChar w:fldCharType="end"/>
      </w:r>
    </w:p>
  </w:footnote>
  <w:footnote w:id="9">
    <w:p w14:paraId="46A35E7B" w14:textId="6E35ACDB"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{"citationID":"kbYn0irW","properties":{"formattedCitation":"Pritchard, M.S. (1972). Human Dignity and Justice. {\\i{}Ethics}. {\\i{}82}(4), 299\\uc0\\u8211{}313.Kent, E. (1968). Justice as Respect for Person. {\\i{}Southern Journal of Philosophy}. {\\i{}6}(2), 70\\uc0\\u8211{}77.","plainCitation":"Pritchard, M.S. (1972). Human Dignity and Justice. Ethics. 82(4), 299–313.Kent, E. (1968). Justice as Respect for Person. Southern Journal of Philosophy. 6(2), 70–77.","dontUpdate":true,"noteIndex":9},"citationItems":[{"id":1519,"uris":["http://zotero.org/users/1170976/items/EZEE24Z7"],"uri":["http://zotero.org/users/1170976/items/EZEE24Z7"],"itemData":{"id":1519,"type":"article-journal","container-title":"Ethics","issue":"4","page":"299-313","title":"Human Dignity and Justice","volume":"82","author":[{"family":"Pritchard","given":"Michael S."}],"issued":{"date-parts":[["1972"]]}}},{"id":1518,"uris":["http://zotero.org/users/1170976/items/7E3G3ABA"],"uri":["http://zotero.org/users/1170976/items/7E3G3ABA"],"itemData":{"id":1518,"type":"article-journal","container-title":"Southern Journal of Philosophy","issue":"2","page":"70-77","title":"Justice as Respect for Person","volume":"6","author":[{"family":"Kent","given":"Edward"}],"issued":{"date-parts":[["1968"]]}}}],"schema":"https://github.com/citation-style-language/schema/raw/master/csl-citation.json"}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Pritchard, M.S. (1972). Human Dignity and Justice. </w:t>
      </w:r>
      <w:r w:rsidRPr="00CB0133">
        <w:rPr>
          <w:rFonts w:asciiTheme="majorBidi" w:hAnsiTheme="majorBidi" w:cstheme="majorBidi"/>
          <w:i/>
          <w:iCs/>
        </w:rPr>
        <w:t>Ethics</w:t>
      </w:r>
      <w:r w:rsidRPr="00CB0133">
        <w:rPr>
          <w:rFonts w:asciiTheme="majorBidi" w:hAnsiTheme="majorBidi" w:cstheme="majorBidi"/>
        </w:rPr>
        <w:t xml:space="preserve">. </w:t>
      </w:r>
      <w:r w:rsidRPr="00CB0133">
        <w:rPr>
          <w:rFonts w:asciiTheme="majorBidi" w:hAnsiTheme="majorBidi" w:cstheme="majorBidi"/>
          <w:i/>
          <w:iCs/>
        </w:rPr>
        <w:t>82</w:t>
      </w:r>
      <w:r w:rsidRPr="00CB0133">
        <w:rPr>
          <w:rFonts w:asciiTheme="majorBidi" w:hAnsiTheme="majorBidi" w:cstheme="majorBidi"/>
        </w:rPr>
        <w:t>(4), 299–313.</w:t>
      </w:r>
      <w:r w:rsidR="001E1EAE">
        <w:rPr>
          <w:rFonts w:asciiTheme="majorBidi" w:hAnsiTheme="majorBidi" w:cstheme="majorBidi"/>
        </w:rPr>
        <w:t xml:space="preserve"> </w:t>
      </w:r>
      <w:r w:rsidRPr="00CB0133">
        <w:rPr>
          <w:rFonts w:asciiTheme="majorBidi" w:hAnsiTheme="majorBidi" w:cstheme="majorBidi"/>
        </w:rPr>
        <w:t xml:space="preserve">Kent, E. (1968). Justice as Respect for Person. </w:t>
      </w:r>
      <w:r w:rsidRPr="00CB0133">
        <w:rPr>
          <w:rFonts w:asciiTheme="majorBidi" w:hAnsiTheme="majorBidi" w:cstheme="majorBidi"/>
          <w:i/>
          <w:iCs/>
        </w:rPr>
        <w:t>Southern Journal of Philosophy</w:t>
      </w:r>
      <w:r w:rsidRPr="00CB0133">
        <w:rPr>
          <w:rFonts w:asciiTheme="majorBidi" w:hAnsiTheme="majorBidi" w:cstheme="majorBidi"/>
        </w:rPr>
        <w:t xml:space="preserve">. </w:t>
      </w:r>
      <w:r w:rsidRPr="00CB0133">
        <w:rPr>
          <w:rFonts w:asciiTheme="majorBidi" w:hAnsiTheme="majorBidi" w:cstheme="majorBidi"/>
          <w:i/>
          <w:iCs/>
        </w:rPr>
        <w:t>6</w:t>
      </w:r>
      <w:r w:rsidRPr="00CB0133">
        <w:rPr>
          <w:rFonts w:asciiTheme="majorBidi" w:hAnsiTheme="majorBidi" w:cstheme="majorBidi"/>
        </w:rPr>
        <w:t>(2), 70–77.</w:t>
      </w:r>
      <w:r w:rsidRPr="00CB0133">
        <w:rPr>
          <w:rFonts w:asciiTheme="majorBidi" w:hAnsiTheme="majorBidi" w:cstheme="majorBidi"/>
        </w:rPr>
        <w:fldChar w:fldCharType="end"/>
      </w:r>
    </w:p>
  </w:footnote>
  <w:footnote w:id="10">
    <w:p w14:paraId="0BCE9A54" w14:textId="2D1FB343"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{"citationID":"sWNAdeF0","properties":{"formattedCitation":"Roemer, J.E. (1998). Theories of distributive justice (1. Harvard Univ. Press paperback ed). Cambridge, Mass.: Harvard Univ. Press.","plainCitation":"Roemer, J.E. (1998). Theories of distributive justice (1. Harvard Univ. Press paperback ed). Cambridge, Mass.: Harvard Univ. Press.","noteIndex":10},"citationItems":[{"id":1520,"uris":["http://zotero.org/users/1170976/items/BFXEKPGH"],"uri":["http://zotero.org/users/1170976/items/BFXEKPGH"],"itemData":{"id":1520,"type":"book","edition":"1. Harvard Univ. Press paperback ed","event-place":"Cambridge, Mass.","ISBN":"978-0-674-87920-1","language":"eng","note":"OCLC: 833091350","number-of-pages":"342","publisher":"Harvard Univ. Press","publisher-place":"Cambridge, Mass.","source":"Gemeinsamer Bibliotheksverbund ISBN","title":"Theories of distributive justice","author":[{"family":"Roemer","given":"John E."}],"issued":{"date-parts":[["1998"]]}}}],"schema":"https://github.com/citation-style-language/schema/raw/master/csl-citation.json"}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Roemer, J.E. (1998). Theories of distributive justice (1. Harvard Univ. Press paperback ed). Cambridge, Mass.: Harvard Univ. Press.</w:t>
      </w:r>
      <w:r w:rsidRPr="00CB0133">
        <w:rPr>
          <w:rFonts w:asciiTheme="majorBidi" w:hAnsiTheme="majorBidi" w:cstheme="majorBidi"/>
        </w:rPr>
        <w:fldChar w:fldCharType="end"/>
      </w:r>
    </w:p>
  </w:footnote>
  <w:footnote w:id="11">
    <w:p w14:paraId="71505424" w14:textId="5364B9C4"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{"citationID":"vfgkTZuM","properties":{"formattedCitation":"Orend, B. (2002). Human Rights: Concept and Context. Ontario: Broadview Press.","plainCitation":"Orend, B. (2002). Human Rights: Concept and Context. Ontario: Broadview Press.","noteIndex":11},"citationItems":[{"id":1522,"uris":["http://zotero.org/users/1170976/items/NDA2EFD9"],"uri":["http://zotero.org/users/1170976/items/NDA2EFD9"],"itemData":{"id":1522,"type":"book","event-place":"Ontario","publisher":"Broadview Press","publisher-place":"Ontario","title":"Human Rights: Concept and Context","author":[{"family":"Orend","given":"Brian"}],"issued":{"date-parts":[["2002"]]}}}],"schema":"https://github.com/citation-style-language/schema/raw/master/csl-citation.json"}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Orend, B. (2002). Human Rights: Concept and Context. Ontario: Broadview Press.</w:t>
      </w:r>
      <w:r w:rsidRPr="00CB0133">
        <w:rPr>
          <w:rFonts w:asciiTheme="majorBidi" w:hAnsiTheme="majorBidi" w:cstheme="majorBidi"/>
        </w:rPr>
        <w:fldChar w:fldCharType="end"/>
      </w:r>
    </w:p>
  </w:footnote>
  <w:footnote w:id="12">
    <w:p w14:paraId="7E4D0612" w14:textId="55F42351"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{"citationID":"5LAbuaO7","properties":{"formattedCitation":"Epstein, S. (2004). Bodily Differences and Collective Identities: the Politics of Gender and Race in Biomedical Research in the United States. {\\i{}Body &amp; Society}. {\\i{}10}(2\\uc0\\u8211{}3), 183\\uc0\\u8211{}203. https://doi.org/10.1177/1357034X04042942","plainCitation":"Epstein, S. (2004). Bodily Differences and Collective Identities: the Politics of Gender and Race in Biomedical Research in the United States. Body &amp; Society. 10(2–3), 183–203. https://doi.org/10.1177/1357034X04042942","noteIndex":12},"citationItems":[{"id":1526,"uris":["http://zotero.org/users/1170976/items/96QNTTAU"],"uri":["http://zotero.org/users/1170976/items/96QNTTAU"],"itemData":{"id":1526,"type":"article-journal","container-title":"Body &amp; Society","DOI":"10.1177/1357034X04042942","ISSN":"1357-034X, 1460-3632","issue":"2-3","language":"en","page":"183-203","source":"Crossref","title":"Bodily Differences and Collective Identities: the Politics of Gender and Race in Biomedical Research in the United States","title-short":"Bodily Differences and Collective Identities","volume":"10","author":[{"family":"Epstein","given":"Steven"}],"issued":{"date-parts":[["2004",6]]}}}],"schema":"https://github.com/citation-style-language/schema/raw/master/csl-citation.json"}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Epstein, S. (2004). Bodily Differences and Collective Identities: the Politics of Gender and Race in Biomedical Research in the United States. </w:t>
      </w:r>
      <w:r w:rsidRPr="00CB0133">
        <w:rPr>
          <w:rFonts w:asciiTheme="majorBidi" w:hAnsiTheme="majorBidi" w:cstheme="majorBidi"/>
          <w:i/>
          <w:iCs/>
        </w:rPr>
        <w:t>Body &amp; Society</w:t>
      </w:r>
      <w:r w:rsidRPr="00CB0133">
        <w:rPr>
          <w:rFonts w:asciiTheme="majorBidi" w:hAnsiTheme="majorBidi" w:cstheme="majorBidi"/>
        </w:rPr>
        <w:t xml:space="preserve">. </w:t>
      </w:r>
      <w:r w:rsidRPr="00CB0133">
        <w:rPr>
          <w:rFonts w:asciiTheme="majorBidi" w:hAnsiTheme="majorBidi" w:cstheme="majorBidi"/>
          <w:i/>
          <w:iCs/>
        </w:rPr>
        <w:t>10</w:t>
      </w:r>
      <w:r w:rsidRPr="00CB0133">
        <w:rPr>
          <w:rFonts w:asciiTheme="majorBidi" w:hAnsiTheme="majorBidi" w:cstheme="majorBidi"/>
        </w:rPr>
        <w:t>(2–3), 183–203. https://doi.org/10.1177/1357034X04042942</w:t>
      </w:r>
      <w:r w:rsidRPr="00CB0133">
        <w:rPr>
          <w:rFonts w:asciiTheme="majorBidi" w:hAnsiTheme="majorBidi" w:cstheme="majorBidi"/>
        </w:rPr>
        <w:fldChar w:fldCharType="end"/>
      </w:r>
    </w:p>
  </w:footnote>
  <w:footnote w:id="13">
    <w:p w14:paraId="527CFCD0" w14:textId="42DF46A2"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{"citationID":"z0Miows2","properties":{"formattedCitation":"Sun, S. (2020). Between personalized and racialized precision medicine: A relative resources perspective. {\\i{}International Sociology}. {\\i{}35}(1), 90\\uc0\\u8211{}110. https://doi.org/10.1177/0268580919885292Hamilton, J.A. (2008). Revitalizing Difference in the HapMap: Race and Contemporary Human Genetic Variation Research. {\\i{}The Journal of Law, Medicine &amp; Ethics}. {\\i{}36}(3), 471\\uc0\\u8211{}477. https://doi.org/10.1111/j.1748-720X.2008.293.xCho, M.K. (2006). Racial and ethnic categories in biomedical research: there is no baby in the bathwater. {\\i{}The Journal of Law, Medicine &amp; Ethics: A Journal of the American Society of Law, Medicine &amp; Ethics}. {\\i{}34}(3), 497\\uc0\\u8211{}499, 479.","plainCitation":"Sun, S. (2020). Between personalized and racialized precision medicine: A relative resources perspective. International Sociology. 35(1), 90–110. https://doi.org/10.1177/0268580919885292Hamilton, J.A. (2008). Revitalizing Difference in the HapMap: Race and Contemporary Human Genetic Variation Research. The Journal of Law, Medicine &amp; Ethics. 36(3), 471–477. https://doi.org/10.1111/j.1748-720X.2008.293.xCho, M.K. (2006). Racial and ethnic categories in biomedical research: there is no baby in the bathwater. The Journal of Law, Medicine &amp; Ethics: A Journal of the American Society of Law, Medicine &amp; Ethics. 34(3), 497–499, 479.","dontUpdate":true,"noteIndex":13},"citationItems":[{"id":1793,"uris":["http://zotero.org/users/1170976/items/5DCJSG2W"],"uri":["http://zotero.org/users/1170976/items/5DCJSG2W"],"itemData":{"id":1793,"type":"article-journal","container-title":"International Sociology","DOI":"10.1177/0268580919885292","ISSN":"0268-5809, 1461-7242","issue":"1","language":"en","page":"90-110","source":"Crossref","title":"Between personalized and racialized precision medicine: A relative resources perspective","title-short":"Between personalized and racialized precision medicine","volume":"35","author":[{"family":"Sun","given":"Shirley"}],"issued":{"date-parts":[["2020",1]]}}},{"id":1525,"uris":["http://zotero.org/users/1170976/items/AGGV6QD8"],"uri":["http://zotero.org/users/1170976/items/AGGV6QD8"],"itemData":{"id":1525,"type":"article-journal","container-title":"The Journal of Law, Medicine &amp; Ethics","DOI":"10.1111/j.1748-720X.2008.293.x","ISSN":"1073-1105, 1748-720X","issue":"3","language":"en","page":"471-477","source":"Crossref","title":"Revitalizing Difference in the HapMap: Race and Contemporary Human Genetic Variation Research","title-short":"Revitalizing Difference in the HapMap","volume":"36","author":[{"family":"Hamilton","given":"Jennifer A."}],"issued":{"date-parts":[["2008",8]]}}},{"id":1523,"uris":["http://zotero.org/users/1170976/items/5CCGFVWM"],"uri":["http://zotero.org/users/1170976/items/5CCGFVWM"],"itemData":{"id":1523,"type":"article-journal","abstract":"The use of racial categories in biomedicine has had a long history in the United States. However, social hierarchy and discrimination, justified by purported scientific differences, has also plagued the history of racial categories. Because \"race\" has some correlation with biological and genetic characteristics, there has been a call not to \"throw the baby out with the bathwater\" by eliminating race as a research or clinical category. I argue that race is too undefined and fluid to be useful as a proxy for biology or genetics.","container-title":"The Journal of Law, Medicine &amp; Ethics: A Journal of the American Society of Law, Medicine &amp; Ethics","ISSN":"1073-1105","issue":"3","journalAbbreviation":"J Law Med Ethics","language":"eng","note":"PMID: 17144171\nPMCID: PMC2271137","page":"497-499, 479","source":"PubMed","title":"Racial and ethnic categories in biomedical research: there is no baby in the bathwater","title-short":"Racial and ethnic categories in biomedical research","volume":"34","author":[{"family":"Cho","given":"Mildred K."}],"issued":{"date-parts":[["2006"]]}}}],"schema":"https://github.com/citation-style-language/schema/raw/master/csl-citation.json"} </w:instrText>
      </w:r>
      <w:r w:rsidRPr="00CB0133">
        <w:rPr>
          <w:rFonts w:asciiTheme="majorBidi" w:hAnsiTheme="majorBidi" w:cstheme="majorBidi"/>
        </w:rPr>
        <w:fldChar w:fldCharType="separate"/>
      </w:r>
      <w:r w:rsidR="001C0DE0" w:rsidRPr="00CB0133">
        <w:rPr>
          <w:rFonts w:asciiTheme="majorBidi" w:hAnsiTheme="majorBidi" w:cstheme="majorBidi"/>
        </w:rPr>
        <w:t xml:space="preserve">Sun, S. (2020). Between personalized and racialized precision medicine: A relative resources perspective. </w:t>
      </w:r>
      <w:r w:rsidR="001C0DE0" w:rsidRPr="00CB0133">
        <w:rPr>
          <w:rFonts w:asciiTheme="majorBidi" w:hAnsiTheme="majorBidi" w:cstheme="majorBidi"/>
          <w:i/>
          <w:iCs/>
        </w:rPr>
        <w:t>International Sociology</w:t>
      </w:r>
      <w:r w:rsidR="001C0DE0" w:rsidRPr="00CB0133">
        <w:rPr>
          <w:rFonts w:asciiTheme="majorBidi" w:hAnsiTheme="majorBidi" w:cstheme="majorBidi"/>
        </w:rPr>
        <w:t xml:space="preserve">. </w:t>
      </w:r>
      <w:r w:rsidR="001C0DE0" w:rsidRPr="00CB0133">
        <w:rPr>
          <w:rFonts w:asciiTheme="majorBidi" w:hAnsiTheme="majorBidi" w:cstheme="majorBidi"/>
          <w:i/>
          <w:iCs/>
        </w:rPr>
        <w:t>35</w:t>
      </w:r>
      <w:r w:rsidR="001C0DE0" w:rsidRPr="00CB0133">
        <w:rPr>
          <w:rFonts w:asciiTheme="majorBidi" w:hAnsiTheme="majorBidi" w:cstheme="majorBidi"/>
        </w:rPr>
        <w:t>(1), 90–110. https://doi.org/10.1177/0268580919885292</w:t>
      </w:r>
      <w:r w:rsidR="0061167D" w:rsidRPr="00CB0133">
        <w:rPr>
          <w:rFonts w:asciiTheme="majorBidi" w:hAnsiTheme="majorBidi" w:cstheme="majorBidi"/>
        </w:rPr>
        <w:t xml:space="preserve">; </w:t>
      </w:r>
      <w:r w:rsidR="001C0DE0" w:rsidRPr="00CB0133">
        <w:rPr>
          <w:rFonts w:asciiTheme="majorBidi" w:hAnsiTheme="majorBidi" w:cstheme="majorBidi"/>
        </w:rPr>
        <w:t xml:space="preserve">Hamilton, J.A. (2008). Revitalizing Difference in the HapMap: Race and Contemporary Human Genetic Variation Research. </w:t>
      </w:r>
      <w:r w:rsidR="001C0DE0" w:rsidRPr="00CB0133">
        <w:rPr>
          <w:rFonts w:asciiTheme="majorBidi" w:hAnsiTheme="majorBidi" w:cstheme="majorBidi"/>
          <w:i/>
          <w:iCs/>
        </w:rPr>
        <w:t>The Journal of Law, Medicine &amp; Ethics</w:t>
      </w:r>
      <w:r w:rsidR="001C0DE0" w:rsidRPr="00CB0133">
        <w:rPr>
          <w:rFonts w:asciiTheme="majorBidi" w:hAnsiTheme="majorBidi" w:cstheme="majorBidi"/>
        </w:rPr>
        <w:t xml:space="preserve">. </w:t>
      </w:r>
      <w:r w:rsidR="001C0DE0" w:rsidRPr="00CB0133">
        <w:rPr>
          <w:rFonts w:asciiTheme="majorBidi" w:hAnsiTheme="majorBidi" w:cstheme="majorBidi"/>
          <w:i/>
          <w:iCs/>
        </w:rPr>
        <w:t>36</w:t>
      </w:r>
      <w:r w:rsidR="001C0DE0" w:rsidRPr="00CB0133">
        <w:rPr>
          <w:rFonts w:asciiTheme="majorBidi" w:hAnsiTheme="majorBidi" w:cstheme="majorBidi"/>
        </w:rPr>
        <w:t>(3), 471–477. https://doi.org/10.1111/j.1748-720X.2008.293.x</w:t>
      </w:r>
      <w:r w:rsidR="0061167D" w:rsidRPr="00CB0133">
        <w:rPr>
          <w:rFonts w:asciiTheme="majorBidi" w:hAnsiTheme="majorBidi" w:cstheme="majorBidi"/>
        </w:rPr>
        <w:t xml:space="preserve">; </w:t>
      </w:r>
      <w:r w:rsidR="001C0DE0" w:rsidRPr="00CB0133">
        <w:rPr>
          <w:rFonts w:asciiTheme="majorBidi" w:hAnsiTheme="majorBidi" w:cstheme="majorBidi"/>
        </w:rPr>
        <w:t xml:space="preserve">Cho, M.K. (2006). Racial and ethnic categories in biomedical research: there is no baby in the bathwater. </w:t>
      </w:r>
      <w:r w:rsidR="001C0DE0" w:rsidRPr="00CB0133">
        <w:rPr>
          <w:rFonts w:asciiTheme="majorBidi" w:hAnsiTheme="majorBidi" w:cstheme="majorBidi"/>
          <w:i/>
          <w:iCs/>
        </w:rPr>
        <w:t>The Journal of Law, Medicine &amp; Ethics: A Journal of the American Society of Law, Medicine &amp; Ethics</w:t>
      </w:r>
      <w:r w:rsidR="001C0DE0" w:rsidRPr="00CB0133">
        <w:rPr>
          <w:rFonts w:asciiTheme="majorBidi" w:hAnsiTheme="majorBidi" w:cstheme="majorBidi"/>
        </w:rPr>
        <w:t xml:space="preserve">. </w:t>
      </w:r>
      <w:r w:rsidR="001C0DE0" w:rsidRPr="00CB0133">
        <w:rPr>
          <w:rFonts w:asciiTheme="majorBidi" w:hAnsiTheme="majorBidi" w:cstheme="majorBidi"/>
          <w:i/>
          <w:iCs/>
        </w:rPr>
        <w:t>34</w:t>
      </w:r>
      <w:r w:rsidR="001C0DE0" w:rsidRPr="00CB0133">
        <w:rPr>
          <w:rFonts w:asciiTheme="majorBidi" w:hAnsiTheme="majorBidi" w:cstheme="majorBidi"/>
        </w:rPr>
        <w:t>(3), 497–499, 479.</w:t>
      </w:r>
      <w:r w:rsidRPr="00CB0133">
        <w:rPr>
          <w:rFonts w:asciiTheme="majorBidi" w:hAnsiTheme="majorBidi" w:cstheme="majorBidi"/>
        </w:rPr>
        <w:fldChar w:fldCharType="end"/>
      </w:r>
    </w:p>
  </w:footnote>
  <w:footnote w:id="14">
    <w:p w14:paraId="70E3471B" w14:textId="26D71557" w:rsidR="000C4A6A" w:rsidRPr="00E1494A" w:rsidRDefault="000C4A6A">
      <w:pPr>
        <w:pStyle w:val="FootnoteText"/>
        <w:rPr>
          <w:lang w:val="en-US"/>
        </w:rPr>
      </w:pPr>
      <w:r>
        <w:rPr>
          <w:rStyle w:val="FootnoteReference"/>
        </w:rPr>
        <w:footnoteRef/>
      </w:r>
      <w:r>
        <w:t xml:space="preserve"> </w:t>
      </w:r>
      <w:r>
        <w:fldChar w:fldCharType="begin"/>
      </w:r>
      <w:r>
        <w:instrText xml:space="preserve"> ADDIN ZOTERO_ITEM CSL_CITATION {"citationID":"KYEIqZKP","properties":{"formattedCitation":"Braun, L. (2002). Race, Ethnicity, and Health: Can Genetics Explain Disparities? {\\i{}Perspectives in Biology and Medicine}. {\\i{}45}(2), 159\\uc0\\u8211{}174. https://doi.org/10.1353/pbm.2002.0023","plainCitation":"Braun, L. (2002). Race, Ethnicity, and Health: Can Genetics Explain Disparities? Perspectives in Biology and Medicine. 45(2), 159–174. https://doi.org/10.1353/pbm.2002.0023","noteIndex":14},"citationItems":[{"id":1933,"uris":["http://zotero.org/users/1170976/items/VUBS2UHB"],"uri":["http://zotero.org/users/1170976/items/VUBS2UHB"],"itemData":{"id":1933,"type":"article-journal","container-title":"Perspectives in Biology and Medicine","DOI":"10.1353/pbm.2002.0023","ISSN":"1529-8795","issue":"2","journalAbbreviation":"Perspectives in Biology and Medicine","language":"en","page":"159-174","source":"DOI.org (Crossref)","title":"Race, Ethnicity, and Health: Can Genetics Explain Disparities?","title-short":"Race, Ethnicity, and Health","volume":"45","author":[{"family":"Braun","given":"Lundy"}],"issued":{"date-parts":[["2002"]]}}}],"schema":"https://github.com/citation-style-language/schema/raw/master/csl-citation.json"} </w:instrText>
      </w:r>
      <w:r>
        <w:fldChar w:fldCharType="separate"/>
      </w:r>
      <w:r w:rsidRPr="00E1494A">
        <w:rPr>
          <w:rFonts w:ascii="Calibri" w:hAnsi="Calibri" w:cs="Calibri"/>
          <w:szCs w:val="24"/>
        </w:rPr>
        <w:t xml:space="preserve">Braun, L. (2002). Race, Ethnicity, and Health: Can Genetics Explain Disparities? </w:t>
      </w:r>
      <w:r w:rsidRPr="00E1494A">
        <w:rPr>
          <w:rFonts w:ascii="Calibri" w:hAnsi="Calibri" w:cs="Calibri"/>
          <w:i/>
          <w:iCs/>
          <w:szCs w:val="24"/>
        </w:rPr>
        <w:t>Perspectives in Biology and Medicine</w:t>
      </w:r>
      <w:r w:rsidRPr="00E1494A">
        <w:rPr>
          <w:rFonts w:ascii="Calibri" w:hAnsi="Calibri" w:cs="Calibri"/>
          <w:szCs w:val="24"/>
        </w:rPr>
        <w:t xml:space="preserve">. </w:t>
      </w:r>
      <w:r w:rsidRPr="00E1494A">
        <w:rPr>
          <w:rFonts w:ascii="Calibri" w:hAnsi="Calibri" w:cs="Calibri"/>
          <w:i/>
          <w:iCs/>
          <w:szCs w:val="24"/>
        </w:rPr>
        <w:t>45</w:t>
      </w:r>
      <w:r w:rsidRPr="00E1494A">
        <w:rPr>
          <w:rFonts w:ascii="Calibri" w:hAnsi="Calibri" w:cs="Calibri"/>
          <w:szCs w:val="24"/>
        </w:rPr>
        <w:t>(2), 159–174. https://doi.org/10.1353/pbm.2002.0023</w:t>
      </w:r>
      <w:r>
        <w:fldChar w:fldCharType="end"/>
      </w:r>
    </w:p>
  </w:footnote>
  <w:footnote w:id="15">
    <w:p w14:paraId="2A73DC84" w14:textId="35CC437D" w:rsidR="00CA2D8C" w:rsidRPr="00E1494A" w:rsidRDefault="00CA2D8C">
      <w:pPr>
        <w:pStyle w:val="FootnoteText"/>
        <w:rPr>
          <w:lang w:val="en-US"/>
        </w:rPr>
      </w:pPr>
      <w:r>
        <w:rPr>
          <w:rStyle w:val="FootnoteReference"/>
        </w:rPr>
        <w:footnoteRef/>
      </w:r>
      <w:r>
        <w:t xml:space="preserve"> </w:t>
      </w:r>
      <w:r>
        <w:fldChar w:fldCharType="begin"/>
      </w:r>
      <w:r>
        <w:instrText xml:space="preserve"> ADDIN ZOTERO_ITEM CSL_CITATION {"citationID":"66j5Jn67","properties":{"formattedCitation":"Fujimura, J.H., &amp; Rajagopalan, R. (2011). Different differences: The use of \\uc0\\u8216{}genetic ancestry\\uc0\\u8217{} versus race in biomedical human genetic research. {\\i{}Social Studies of Science}. {\\i{}41}(1), 5\\uc0\\u8211{}30. https://doi.org/10.1177/0306312710379170","plainCitation":"Fujimura, J.H., &amp; Rajagopalan, R. (2011). Different differences: The use of ‘genetic ancestry’ versus race in biomedical human genetic research. Social Studies of Science. 41(1), 5–30. https://doi.org/10.1177/0306312710379170","noteIndex":14},"citationItems":[{"id":1931,"uris":["http://zotero.org/users/1170976/items/WF4SGIA8"],"uri":["http://zotero.org/users/1170976/items/WF4SGIA8"],"itemData":{"id":1931,"type":"article-journal","container-title":"Social Studies of Science","DOI":"10.1177/0306312710379170","ISSN":"0306-3127, 1460-3659","issue":"1","journalAbbreviation":"Soc Stud Sci","language":"en","page":"5-30","source":"DOI.org (Crossref)","title":"Different differences: The use of ‘genetic ancestry’ versus race in biomedical human genetic research","title-short":"Different differences","volume":"41","author":[{"family":"Fujimura","given":"Joan H."},{"family":"Rajagopalan","given":"Ramya"}],"issued":{"date-parts":[["2011",2]]}}}],"schema":"https://github.com/citation-style-language/schema/raw/master/csl-citation.json"} </w:instrText>
      </w:r>
      <w:r>
        <w:fldChar w:fldCharType="separate"/>
      </w:r>
      <w:r w:rsidRPr="00D84B20">
        <w:rPr>
          <w:rFonts w:ascii="Calibri" w:hAnsi="Calibri" w:cs="Calibri"/>
          <w:szCs w:val="24"/>
        </w:rPr>
        <w:t xml:space="preserve">Fujimura, J.H., &amp; Rajagopalan, R. (2011). Different differences: The use of ‘genetic ancestry’ versus race in biomedical human genetic research. </w:t>
      </w:r>
      <w:r w:rsidRPr="00D84B20">
        <w:rPr>
          <w:rFonts w:ascii="Calibri" w:hAnsi="Calibri" w:cs="Calibri"/>
          <w:i/>
          <w:iCs/>
          <w:szCs w:val="24"/>
        </w:rPr>
        <w:t>Social Studies of Science</w:t>
      </w:r>
      <w:r w:rsidRPr="00D84B20">
        <w:rPr>
          <w:rFonts w:ascii="Calibri" w:hAnsi="Calibri" w:cs="Calibri"/>
          <w:szCs w:val="24"/>
        </w:rPr>
        <w:t xml:space="preserve">. </w:t>
      </w:r>
      <w:r w:rsidRPr="00D84B20">
        <w:rPr>
          <w:rFonts w:ascii="Calibri" w:hAnsi="Calibri" w:cs="Calibri"/>
          <w:i/>
          <w:iCs/>
          <w:szCs w:val="24"/>
        </w:rPr>
        <w:t>41</w:t>
      </w:r>
      <w:r w:rsidRPr="00D84B20">
        <w:rPr>
          <w:rFonts w:ascii="Calibri" w:hAnsi="Calibri" w:cs="Calibri"/>
          <w:szCs w:val="24"/>
        </w:rPr>
        <w:t>(1), 5–30. https://doi.org/10.1177/0306312710379170</w:t>
      </w:r>
      <w:r>
        <w:fldChar w:fldCharType="end"/>
      </w:r>
    </w:p>
  </w:footnote>
  <w:footnote w:id="16">
    <w:p w14:paraId="0DC86674" w14:textId="6A1AEC43"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{"citationID":"XiBdON2u","properties":{"formattedCitation":"Rosenberg, N.A. (2002). Genetic Structure of Human Populations. {\\i{}Science}. {\\i{}298}(5602), 2381\\uc0\\u8211{}2385. https://doi.org/10.1126/science.1078311Lewontin, R.C., Dobzhansky, T., Hecht, M.K., &amp; Steere, W.C. (1972). The Apportionment of Human Diversity. In Evolutionary Biology. New York: Springer.","plainCitation":"Rosenberg, N.A. (2002). Genetic Structure of Human Populations. Science. 298(5602), 2381–2385. https://doi.org/10.1126/science.1078311Lewontin, R.C., Dobzhansky, T., Hecht, M.K., &amp; Steere, W.C. (1972). The Apportionment of Human Diversity. In Evolutionary Biology. New York: Springer.","noteIndex":16},"citationItems":[{"id":1570,"uris":["http://zotero.org/users/1170976/items/63W33RZJ"],"uri":["http://zotero.org/users/1170976/items/63W33RZJ"],"itemData":{"id":1570,"type":"chapter","container-title":"Evolutionary Biology","event-place":"New York","publisher":"Springer","publisher-place":"New York","title":"The Apportionment of Human Diversity","author":[{"family":"Lewontin","given":"R.C."},{"family":"Dobzhansky","given":"T."},{"family":"Hecht","given":"M.K."},{"family":"Steere","given":"W.C."}],"issued":{"date-parts":[["1972"]]}}},{"id":1540,"uris":["http://zotero.org/users/1170976/items/IK723A2J"],"uri":["http://zotero.org/users/1170976/items/IK723A2J"],"itemData":{"id":1540,"type":"article-journal","container-title":"Science","DOI":"10.1126/science.1078311","ISSN":"00368075, 10959203","issue":"5602","page":"2381-2385","source":"Crossref","title":"Genetic Structure of Human Populations","volume":"298","author":[{"family":"Rosenberg","given":"N. A."}],"issued":{"date-parts":[["2002",12,20]]}}}],"schema":"https://github.com/citation-style-language/schema/raw/master/csl-citation.json"}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Rosenberg, N.A. (2002). Genetic Structure of Human Populations. </w:t>
      </w:r>
      <w:r w:rsidRPr="00CB0133">
        <w:rPr>
          <w:rFonts w:asciiTheme="majorBidi" w:hAnsiTheme="majorBidi" w:cstheme="majorBidi"/>
          <w:i/>
          <w:iCs/>
        </w:rPr>
        <w:t>Science</w:t>
      </w:r>
      <w:r w:rsidRPr="00CB0133">
        <w:rPr>
          <w:rFonts w:asciiTheme="majorBidi" w:hAnsiTheme="majorBidi" w:cstheme="majorBidi"/>
        </w:rPr>
        <w:t xml:space="preserve">. </w:t>
      </w:r>
      <w:r w:rsidRPr="00CB0133">
        <w:rPr>
          <w:rFonts w:asciiTheme="majorBidi" w:hAnsiTheme="majorBidi" w:cstheme="majorBidi"/>
          <w:i/>
          <w:iCs/>
        </w:rPr>
        <w:t>298</w:t>
      </w:r>
      <w:r w:rsidRPr="00CB0133">
        <w:rPr>
          <w:rFonts w:asciiTheme="majorBidi" w:hAnsiTheme="majorBidi" w:cstheme="majorBidi"/>
        </w:rPr>
        <w:t>(5602), 2381–2385. https://doi.org/10.1126/science.1078311Lewontin, R.C., Dobzhansky, T., Hecht, M.K., &amp; Steere, W.C. (1972). The Apportionment of Human Diversity. In Evolutionary Biology. New York: Springer.</w:t>
      </w:r>
      <w:r w:rsidRPr="00CB0133">
        <w:rPr>
          <w:rFonts w:asciiTheme="majorBidi" w:hAnsiTheme="majorBidi" w:cstheme="majorBidi"/>
        </w:rPr>
        <w:fldChar w:fldCharType="end"/>
      </w:r>
    </w:p>
  </w:footnote>
  <w:footnote w:id="17">
    <w:p w14:paraId="19F28DB4" w14:textId="22402CDE" w:rsidR="00463DA8" w:rsidRPr="00CB0133" w:rsidRDefault="00463DA8">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{"citationID":"rVBVVKd4","properties":{"formattedCitation":"Bobadilla, J.L., Macek, M., Fine, J.P., &amp; Farrell, P.M. (2002). Cystic fibrosis: A worldwide analysis ofCFTR mutations?correlation with incidence data and application to screening. {\\i{}Human Mutation}. {\\i{}19}(6), 575\\uc0\\u8211{}606. https://doi.org/10.1002/humu.10041","plainCitation":"Bobadilla, J.L., Macek, M., Fine, J.P., &amp; Farrell, P.M. (2002). Cystic fibrosis: A worldwide analysis ofCFTR mutations?correlation with incidence data and application to screening. Human Mutation. 19(6), 575–606. https://doi.org/10.1002/humu.10041","noteIndex":16},"citationItems":[{"id":1616,"uris":["http://zotero.org/users/1170976/items/ZF2D4V5G"],"uri":["http://zotero.org/users/1170976/items/ZF2D4V5G"],"itemData":{"id":1616,"type":"article-journal","container-title":"Human Mutation","DOI":"10.1002/humu.10041","ISSN":"1059-7794, 1098-1004","issue":"6","language":"en","page":"575-606","source":"Crossref","title":"Cystic fibrosis: A worldwide analysis ofCFTR mutations?correlation with incidence data and application to screening","title-short":"Cystic fibrosis","volume":"19","author":[{"family":"Bobadilla","given":"Joseph L."},{"family":"Macek","given":"Milan"},{"family":"Fine","given":"Jason P."},{"family":"Farrell","given":"Philip M."}],"issued":{"date-parts":[["2002",6]]}}}],"schema":"https://github.com/citation-style-language/schema/raw/master/csl-citation.json"}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Bobadilla, J.L., Macek, M., Fine, J.P., &amp; Farrell, P.M. (2002). Cystic fibrosis: A worldwide analysis ofCFTR mutations?correlation with incidence data and application to screening. </w:t>
      </w:r>
      <w:r w:rsidRPr="00CB0133">
        <w:rPr>
          <w:rFonts w:asciiTheme="majorBidi" w:hAnsiTheme="majorBidi" w:cstheme="majorBidi"/>
          <w:i/>
          <w:iCs/>
        </w:rPr>
        <w:t>Human Mutation</w:t>
      </w:r>
      <w:r w:rsidRPr="00CB0133">
        <w:rPr>
          <w:rFonts w:asciiTheme="majorBidi" w:hAnsiTheme="majorBidi" w:cstheme="majorBidi"/>
        </w:rPr>
        <w:t xml:space="preserve">. </w:t>
      </w:r>
      <w:r w:rsidRPr="00CB0133">
        <w:rPr>
          <w:rFonts w:asciiTheme="majorBidi" w:hAnsiTheme="majorBidi" w:cstheme="majorBidi"/>
          <w:i/>
          <w:iCs/>
        </w:rPr>
        <w:t>19</w:t>
      </w:r>
      <w:r w:rsidRPr="00CB0133">
        <w:rPr>
          <w:rFonts w:asciiTheme="majorBidi" w:hAnsiTheme="majorBidi" w:cstheme="majorBidi"/>
        </w:rPr>
        <w:t>(6), 575–606. https://doi.org/10.1002/humu.10041</w:t>
      </w:r>
      <w:r w:rsidRPr="00CB0133">
        <w:rPr>
          <w:rFonts w:asciiTheme="majorBidi" w:hAnsiTheme="majorBidi" w:cstheme="majorBidi"/>
        </w:rPr>
        <w:fldChar w:fldCharType="end"/>
      </w:r>
    </w:p>
  </w:footnote>
  <w:footnote w:id="18">
    <w:p w14:paraId="0766FEDE" w14:textId="48D94278"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{"citationID":"SRqa1vj5","properties":{"formattedCitation":"Bijarnia-Mahay, S., H\\uc0\\u228{}berle, J., R\\uc0\\u252{}fenacht, V., Shigematsu, Y., Saxena, R., &amp; Verma, I. (2015). Citrin deficiency: A treatable cause of acute psychosis in adults. {\\i{}Neurology India}. {\\i{}63}(2), 220. https://doi.org/10.4103/0028-3886.156285Dimmock, D., Maranda, B., Dionisi-Vici, C., Wang, J., Kleppe, S., Fiermonte, G., \\uc0\\u8230{} Wong, L.-J. (2009). Citrin deficiency, a perplexing global disorder. {\\i{}Molecular Genetics and Metabolism}. {\\i{}96}(1), 44\\uc0\\u8211{}49. https://doi.org/10.1016/j.ymgme.2008.10.007","plainCitation":"Bijarnia-Mahay, S., Häberle, J., Rüfenacht, V., Shigematsu, Y., Saxena, R., &amp; Verma, I. (2015). Citrin deficiency: A treatable cause of acute psychosis in adults. Neurology India. 63(2), 220. https://doi.org/10.4103/0028-3886.156285Dimmock, D., Maranda, B., Dionisi-Vici, C., Wang, J., Kleppe, S., Fiermonte, G., … Wong, L.-J. (2009). Citrin deficiency, a perplexing global disorder. Molecular Genetics and Metabolism. 96(1), 44–49. https://doi.org/10.1016/j.ymgme.2008.10.007","dontUpdate":true,"noteIndex":17},"citationItems":[{"id":1560,"uris":["http://zotero.org/users/1170976/items/FH3U7CNZ"],"uri":["http://zotero.org/users/1170976/items/FH3U7CNZ"],"itemData":{"id":1560,"type":"article-journal","container-title":"Molecular Genetics and Metabolism","DOI":"10.1016/j.ymgme.2008.10.007","ISSN":"10967192","issue":"1","language":"en","page":"44-49","source":"Crossref","title":"Citrin deficiency, a perplexing global disorder","volume":"96","author":[{"family":"Dimmock","given":"David"},{"family":"Maranda","given":"Bruno"},{"family":"Dionisi-Vici","given":"Carlo"},{"family":"Wang","given":"Jing"},{"family":"Kleppe","given":"Soledad"},{"family":"Fiermonte","given":"Giuseppe"},{"family":"Bai","given":"Renkui"},{"family":"Hainline","given":"Bryan"},{"family":"Hamosh","given":"Ada"},{"family":"O’Brien","given":"William E."},{"family":"Scaglia","given":"Fernando"},{"family":"Wong","given":"Lee-Jun"}],"issued":{"date-parts":[["2009",1]]}}},{"id":1559,"uris":["http://zotero.org/users/1170976/items/48PFIWAG"],"uri":["http://zotero.org/users/1170976/items/48PFIWAG"],"itemData":{"id":1559,"type":"article-journal","container-title":"Neurology India","DOI":"10.4103/0028-3886.156285","ISSN":"0028-3886","issue":"2","language":"en","page":"220","source":"Crossref","title":"Citrin deficiency: A treatable cause of acute psychosis in adults","title-short":"Citrin deficiency","volume":"63","author":[{"family":"Bijarnia-Mahay","given":"Sunita"},{"family":"Häberle","given":"Johannes"},{"family":"Rüfenacht","given":"Véronique"},{"family":"Shigematsu","given":"Yosuke"},{"family":"Saxena","given":"Renu"},{"family":"Verma","given":"IshwarC"}],"issued":{"date-parts":[["2015"]]}}}],"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Bijarnia-Mahay, S., Häberle, J., Rüfenacht, V., Shigematsu, Y., Saxena, R., &amp; Verma, I. (2015). Citrin deficiency: A treatable cause of acute psychosis in adults. </w:t>
      </w:r>
      <w:r w:rsidRPr="00CB0133">
        <w:rPr>
          <w:rFonts w:asciiTheme="majorBidi" w:hAnsiTheme="majorBidi" w:cstheme="majorBidi"/>
          <w:i/>
          <w:iCs/>
          <w:lang w:val="fr-CA"/>
        </w:rPr>
        <w:t>Neurology India</w:t>
      </w:r>
      <w:r w:rsidRPr="00CB0133">
        <w:rPr>
          <w:rFonts w:asciiTheme="majorBidi" w:hAnsiTheme="majorBidi" w:cstheme="majorBidi"/>
          <w:lang w:val="fr-CA"/>
        </w:rPr>
        <w:t xml:space="preserve">. </w:t>
      </w:r>
      <w:r w:rsidRPr="00CB0133">
        <w:rPr>
          <w:rFonts w:asciiTheme="majorBidi" w:hAnsiTheme="majorBidi" w:cstheme="majorBidi"/>
          <w:i/>
          <w:iCs/>
          <w:lang w:val="fr-CA"/>
        </w:rPr>
        <w:t>63</w:t>
      </w:r>
      <w:r w:rsidRPr="00CB0133">
        <w:rPr>
          <w:rFonts w:asciiTheme="majorBidi" w:hAnsiTheme="majorBidi" w:cstheme="majorBidi"/>
          <w:lang w:val="fr-CA"/>
        </w:rPr>
        <w:t>(2), 220. https://doi.org/10.4103/0028-3886.156285</w:t>
      </w:r>
      <w:r w:rsidR="0061167D" w:rsidRPr="00CB0133">
        <w:rPr>
          <w:rFonts w:asciiTheme="majorBidi" w:hAnsiTheme="majorBidi" w:cstheme="majorBidi"/>
          <w:lang w:val="fr-CA"/>
        </w:rPr>
        <w:t xml:space="preserve">; </w:t>
      </w:r>
      <w:r w:rsidRPr="00CB0133">
        <w:rPr>
          <w:rFonts w:asciiTheme="majorBidi" w:hAnsiTheme="majorBidi" w:cstheme="majorBidi"/>
          <w:lang w:val="fr-CA"/>
        </w:rPr>
        <w:t xml:space="preserve">Dimmock, D., Maranda, B., Dionisi-Vici, C., Wang, J., Kleppe, S., Fiermonte, G., … </w:t>
      </w:r>
      <w:r w:rsidRPr="00CB0133">
        <w:rPr>
          <w:rFonts w:asciiTheme="majorBidi" w:hAnsiTheme="majorBidi" w:cstheme="majorBidi"/>
        </w:rPr>
        <w:t xml:space="preserve">Wong, L.-J. (2009). Citrin deficiency, a perplexing global disorder. </w:t>
      </w:r>
      <w:r w:rsidRPr="00CB0133">
        <w:rPr>
          <w:rFonts w:asciiTheme="majorBidi" w:hAnsiTheme="majorBidi" w:cstheme="majorBidi"/>
          <w:i/>
          <w:iCs/>
        </w:rPr>
        <w:t>Molecular Genetics and Metabolism</w:t>
      </w:r>
      <w:r w:rsidRPr="00CB0133">
        <w:rPr>
          <w:rFonts w:asciiTheme="majorBidi" w:hAnsiTheme="majorBidi" w:cstheme="majorBidi"/>
        </w:rPr>
        <w:t xml:space="preserve">. </w:t>
      </w:r>
      <w:r w:rsidRPr="00CB0133">
        <w:rPr>
          <w:rFonts w:asciiTheme="majorBidi" w:hAnsiTheme="majorBidi" w:cstheme="majorBidi"/>
          <w:i/>
          <w:iCs/>
        </w:rPr>
        <w:t>96</w:t>
      </w:r>
      <w:r w:rsidRPr="00CB0133">
        <w:rPr>
          <w:rFonts w:asciiTheme="majorBidi" w:hAnsiTheme="majorBidi" w:cstheme="majorBidi"/>
        </w:rPr>
        <w:t>(1), 44–49. https://doi.org/10.1016/j.ymgme.2008.10.007</w:t>
      </w:r>
      <w:r w:rsidRPr="00CB0133">
        <w:rPr>
          <w:rFonts w:asciiTheme="majorBidi" w:hAnsiTheme="majorBidi" w:cstheme="majorBidi"/>
        </w:rPr>
        <w:fldChar w:fldCharType="end"/>
      </w:r>
    </w:p>
  </w:footnote>
  <w:footnote w:id="19">
    <w:p w14:paraId="62736781" w14:textId="7AD28726"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{"citationID":"IJm72YWA","properties":{"formattedCitation":"Huxley, J. (1938). Clines: an Auxiliary Taxonomic Principle. {\\i{}Nature}. {\\i{}142}(3587), 219\\uc0\\u8211{}220. https://doi.org/10.1038/142219a0","plainCitation":"Huxley, J. (1938). Clines: an Auxiliary Taxonomic Principle. Nature. 142(3587), 219–220. https://doi.org/10.1038/142219a0","noteIndex":18},"citationItems":[{"id":1564,"uris":["http://zotero.org/users/1170976/items/72JBHF9B"],"uri":["http://zotero.org/users/1170976/items/72JBHF9B"],"itemData":{"id":1564,"type":"article-journal","container-title":"Nature","DOI":"10.1038/142219a0","ISSN":"0028-0836, 1476-4687","issue":"3587","language":"en","page":"219-220","source":"Crossref","title":"Clines: an Auxiliary Taxonomic Principle","title-short":"Clines","volume":"142","author":[{"family":"Huxley","given":"Julian"}],"issued":{"date-parts":[["1938",7]]}}}],"schema":"https://github.com/citation-style-language/schema/raw/master/csl-citation.json"}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Huxley, J. (1938). Clines: an Auxiliary Taxonomic Principle. </w:t>
      </w:r>
      <w:r w:rsidRPr="00CB0133">
        <w:rPr>
          <w:rFonts w:asciiTheme="majorBidi" w:hAnsiTheme="majorBidi" w:cstheme="majorBidi"/>
          <w:i/>
          <w:iCs/>
        </w:rPr>
        <w:t>Nature</w:t>
      </w:r>
      <w:r w:rsidRPr="00CB0133">
        <w:rPr>
          <w:rFonts w:asciiTheme="majorBidi" w:hAnsiTheme="majorBidi" w:cstheme="majorBidi"/>
        </w:rPr>
        <w:t xml:space="preserve">. </w:t>
      </w:r>
      <w:r w:rsidRPr="00CB0133">
        <w:rPr>
          <w:rFonts w:asciiTheme="majorBidi" w:hAnsiTheme="majorBidi" w:cstheme="majorBidi"/>
          <w:i/>
          <w:iCs/>
        </w:rPr>
        <w:t>142</w:t>
      </w:r>
      <w:r w:rsidRPr="00CB0133">
        <w:rPr>
          <w:rFonts w:asciiTheme="majorBidi" w:hAnsiTheme="majorBidi" w:cstheme="majorBidi"/>
        </w:rPr>
        <w:t>(3587), 219–220. https://doi.org/10.1038/142219a0</w:t>
      </w:r>
      <w:r w:rsidRPr="00CB0133">
        <w:rPr>
          <w:rFonts w:asciiTheme="majorBidi" w:hAnsiTheme="majorBidi" w:cstheme="majorBidi"/>
        </w:rPr>
        <w:fldChar w:fldCharType="end"/>
      </w:r>
    </w:p>
  </w:footnote>
  <w:footnote w:id="20">
    <w:p w14:paraId="3E58FF6D" w14:textId="59991EB4"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{"citationID":"lEgIdj9w","properties":{"formattedCitation":"Sun, S. (2017). Socio-economics of personalized medicine in Asia. New York and London: Routledge. Retrieved from https://login.proxy.bib.uottawa.ca/login?url=http://www.taylorfrancis.com/books/9781315537177Prainsack, B. (2015). Is personalized medicine different? (Reinscription: the sequel) A response to Troy Duster: Is personalized medicine different? {\\i{}The British Journal of Sociology}. {\\i{}66}(1), 28\\uc0\\u8211{}35. https://doi.org/10.1111/1468-4446.12117Hunt, L.M., Truesdell, N.D., &amp; Kreiner, M.J. (2013). Genes, Race, and Culture in Clinical Care. {\\i{}Medical Anthropology Quarterly}. {\\i{}27}(2), 253\\uc0\\u8211{}271.Kahn, J. (2007). Race in a Bottle. {\\i{}Scientific American}. {\\i{}297}, 40\\uc0\\u8211{}45.Kahn, J. (2006). Patenting Race. {\\i{}Nature Biotechnology}. {\\i{}24}(11), 1349\\uc0\\u8211{}1351.Weigmann, K. (2006). Racial medicine: here to stay? {\\i{}EMBO Reports}. {\\i{}7}(3), 246\\uc0\\u8211{}249. https://doi.org/10.1038/sj.embor.7400654Duster, T. (2003). Backdoor to Eugenics. New York: Routledge.Root, M. (2003). The Use of Race in Medicine as a Proxy for Genetic Differences. {\\i{}Philosophy of Science}. {\\i{}70}(5), 1173\\uc0\\u8211{}83.","plainCitation":"Sun, S. (2017). Socio-economics of personalized medicine in Asia. New York and London: Routledge. Retrieved from https://login.proxy.bib.uottawa.ca/login?url=http://www.taylorfrancis.com/books/9781315537177Prainsack, B. (2015). Is personalized medicine different? (Reinscription: the sequel) A response to Troy Duster: Is personalized medicine different? The British Journal of Sociology. 66(1), 28–35. https://doi.org/10.1111/1468-4446.12117Hunt, L.M., Truesdell, N.D., &amp; Kreiner, M.J. (2013). Genes, Race, and Culture in Clinical Care. Medical Anthropology Quarterly. 27(2), 253–271.Kahn, J. (2007). Race in a Bottle. Scientific American. 297, 40–45.Kahn, J. (2006). Patenting Race. Nature Biotechnology. 24(11), 1349–1351.Weigmann, K. (2006). Racial medicine: here to stay? EMBO Reports. 7(3), 246–249. https://doi.org/10.1038/sj.embor.7400654Duster, T. (2003). Backdoor to Eugenics. New York: Routledge.Root, M. (2003). The Use of Race in Medicine as a Proxy for Genetic Differences. Philosophy of Science. 70(5), 1173–83.","dontUpdate":true,"noteIndex":20},"citationItems":[{"id":1561,"uris":["http://zotero.org/users/1170976/items/V7DS3I3A"],"uri":["http://zotero.org/users/1170976/items/V7DS3I3A"],"itemData":{"id":1561,"type":"book","event-place":"New York","publisher":"Routledge","publisher-place":"New York","title":"Backdoor to Eugenics","author":[{"family":"Duster","given":"Troy"}],"issued":{"date-parts":[["2003"]]}}},{"id":1563,"uris":["http://zotero.org/users/1170976/items/BA2ZTI3V"],"uri":["http://zotero.org/users/1170976/items/BA2ZTI3V"],"itemData":{"id":1563,"type":"article-journal","container-title":"Medical Anthropology Quarterly","issue":"2","page":"253-271","title":"Genes, Race, and Culture in Clinical Care","volume":"27","author":[{"family":"Hunt","given":"L. M."},{"family":"Truesdell","given":"N.D."},{"family":"Kreiner","given":"M.J."}],"issued":{"date-parts":[["2013"]]}}},{"id":1565,"uris":["http://zotero.org/users/1170976/items/A3ZJQ95K"],"uri":["http://zotero.org/users/1170976/items/A3ZJQ95K"],"itemData":{"id":1565,"type":"article-journal","container-title":"Nature Biotechnology","issue":"11","page":"1349-1351","title":"Patenting Race","volume":"24","author":[{"family":"Kahn","given":"J."}],"issued":{"date-parts":[["2006"]]}}},{"id":1566,"uris":["http://zotero.org/users/1170976/items/PWWCZ9N7"],"uri":["http://zotero.org/users/1170976/items/PWWCZ9N7"],"itemData":{"id":1566,"type":"article-journal","container-title":"Scientific American","page":"40-45","title":"Race in a Bottle","volume":"297","author":[{"family":"Kahn","given":"J."}],"issued":{"date-parts":[["2007"]]}}},{"id":1571,"uris":["http://zotero.org/users/1170976/items/APG6NM9I"],"uri":["http://zotero.org/users/1170976/items/APG6NM9I"],"itemData":{"id":1571,"type":"article-journal","container-title":"The British Journal of Sociology","DOI":"10.1111/1468-4446.12117","ISSN":"00071315","issue":"1","language":"en","page":"28-35","source":"Crossref","title":"Is personalized medicine different? (Reinscription: the sequel) A response to Troy Duster: Is personalized medicine different?","title-short":"Is personalized medicine different?","volume":"66","author":[{"family":"Prainsack","given":"Barbara"}],"issued":{"date-parts":[["2015",3]]}}},{"id":1572,"uris":["http://zotero.org/users/1170976/items/FU8AG3VI"],"uri":["http://zotero.org/users/1170976/items/FU8AG3VI"],"itemData":{"id":1572,"type":"article-journal","container-title":"Philosophy of Science","issue":"5","page":"1173-83","title":"The Use of Race in Medicine as a Proxy for Genetic Differences","volume":"70","author":[{"family":"Root","given":"M."}],"issued":{"date-parts":[["2003"]]}}},{"id":1577,"uris":["http://zotero.org/users/1170976/items/KR8TKFQ7"],"uri":["http://zotero.org/users/1170976/items/KR8TKFQ7"],"itemData":{"id":1577,"type":"book","abstract":"\"The second decade of the 21st century has witnessed a new surge in emphasis on personalized medicine based on analysis of an individual's unique genetic make-up as a means to enable more precise diagnosis, treatment and prevention of diseases. This book attempts to contribute to this growing body of literature by tracing and analyzing \"personalized medicine\" as it unfolds in Asia, and in so doing, illustrating various social forces shaping the \"co-production\" of science and social order in transnational settings. The book shows that there are inextricable transnational linkages between developing and developed countries and also provides a theoretically guided and empirically grounded understanding of the formation and usage of particular human taxonomies in transnational settings\"--","event-place":"New York and London","ISBN":"978-1-138-93383-5","language":"English","note":"OCLC: 964385948","publisher":"Routledge","publisher-place":"New York and London","source":"Open WorldCat","title":"Socio-economics of personalized medicine in Asia","URL":"http://www.routledge.com/products/9780367354428","author":[{"family":"Sun","given":"Shirley"}],"accessed":{"date-parts":[["2019",3,25]]},"issued":{"date-parts":[["2017"]]}}},{"id":1575,"uris":["http://zotero.org/users/1170976/items/7PUEI538"],"uri":["http://zotero.org/users/1170976/items/7PUEI538"],"itemData":{"id":1575,"type":"article-journal","container-title":"EMBO reports","DOI":"10.1038/sj.embor.7400654","ISSN":"1469-221X, 1469-3178","issue":"3","page":"246-249","source":"Crossref","title":"Racial medicine: here to stay?","title-short":"Racial medicine","volume":"7","author":[{"family":"Weigmann","given":"Katrin"}],"issued":{"date-parts":[["2006",3]]}}}],"schema":"https://github.com/citation-style-language/schema/raw/master/csl-citation.json"} </w:instrText>
      </w:r>
      <w:r w:rsidRPr="00CB0133">
        <w:rPr>
          <w:rFonts w:asciiTheme="majorBidi" w:hAnsiTheme="majorBidi" w:cstheme="majorBidi"/>
        </w:rPr>
        <w:fldChar w:fldCharType="separate"/>
      </w:r>
      <w:r w:rsidR="00012DE5" w:rsidRPr="00CB0133">
        <w:rPr>
          <w:rFonts w:asciiTheme="majorBidi" w:hAnsiTheme="majorBidi" w:cstheme="majorBidi"/>
        </w:rPr>
        <w:t>Sun, S. (2017). Socio-economics of personalized medicine in Asia. New York and London: Routledge</w:t>
      </w:r>
      <w:r w:rsidR="0061167D" w:rsidRPr="00CB0133">
        <w:rPr>
          <w:rFonts w:asciiTheme="majorBidi" w:hAnsiTheme="majorBidi" w:cstheme="majorBidi"/>
        </w:rPr>
        <w:t xml:space="preserve">; </w:t>
      </w:r>
      <w:r w:rsidR="00012DE5" w:rsidRPr="00CB0133">
        <w:rPr>
          <w:rFonts w:asciiTheme="majorBidi" w:hAnsiTheme="majorBidi" w:cstheme="majorBidi"/>
        </w:rPr>
        <w:t xml:space="preserve">Prainsack, B. (2015). Is personalized medicine different? (Reinscription: the sequel) A response to Troy Duster: Is personalized medicine different? </w:t>
      </w:r>
      <w:r w:rsidR="00012DE5" w:rsidRPr="00CB0133">
        <w:rPr>
          <w:rFonts w:asciiTheme="majorBidi" w:hAnsiTheme="majorBidi" w:cstheme="majorBidi"/>
          <w:i/>
          <w:iCs/>
        </w:rPr>
        <w:t>The British Journal of Sociology</w:t>
      </w:r>
      <w:r w:rsidR="00012DE5" w:rsidRPr="00CB0133">
        <w:rPr>
          <w:rFonts w:asciiTheme="majorBidi" w:hAnsiTheme="majorBidi" w:cstheme="majorBidi"/>
        </w:rPr>
        <w:t xml:space="preserve">. </w:t>
      </w:r>
      <w:r w:rsidR="00012DE5" w:rsidRPr="00CB0133">
        <w:rPr>
          <w:rFonts w:asciiTheme="majorBidi" w:hAnsiTheme="majorBidi" w:cstheme="majorBidi"/>
          <w:i/>
          <w:iCs/>
        </w:rPr>
        <w:t>66</w:t>
      </w:r>
      <w:r w:rsidR="00012DE5" w:rsidRPr="00CB0133">
        <w:rPr>
          <w:rFonts w:asciiTheme="majorBidi" w:hAnsiTheme="majorBidi" w:cstheme="majorBidi"/>
        </w:rPr>
        <w:t>(1), 28–35. https://doi.org/10.1111/1468-4446.12117</w:t>
      </w:r>
      <w:r w:rsidR="0061167D" w:rsidRPr="00CB0133">
        <w:rPr>
          <w:rFonts w:asciiTheme="majorBidi" w:hAnsiTheme="majorBidi" w:cstheme="majorBidi"/>
        </w:rPr>
        <w:t xml:space="preserve">; </w:t>
      </w:r>
      <w:r w:rsidR="00012DE5" w:rsidRPr="00CB0133">
        <w:rPr>
          <w:rFonts w:asciiTheme="majorBidi" w:hAnsiTheme="majorBidi" w:cstheme="majorBidi"/>
        </w:rPr>
        <w:t xml:space="preserve">Hunt, L.M., Truesdell, N.D., &amp; Kreiner, M.J. (2013). Genes, Race, and Culture in Clinical Care. </w:t>
      </w:r>
      <w:r w:rsidR="00012DE5" w:rsidRPr="00CB0133">
        <w:rPr>
          <w:rFonts w:asciiTheme="majorBidi" w:hAnsiTheme="majorBidi" w:cstheme="majorBidi"/>
          <w:i/>
          <w:iCs/>
        </w:rPr>
        <w:t>Medical Anthropology Quarterly</w:t>
      </w:r>
      <w:r w:rsidR="00012DE5" w:rsidRPr="00CB0133">
        <w:rPr>
          <w:rFonts w:asciiTheme="majorBidi" w:hAnsiTheme="majorBidi" w:cstheme="majorBidi"/>
        </w:rPr>
        <w:t xml:space="preserve">. </w:t>
      </w:r>
      <w:r w:rsidR="00012DE5" w:rsidRPr="00CB0133">
        <w:rPr>
          <w:rFonts w:asciiTheme="majorBidi" w:hAnsiTheme="majorBidi" w:cstheme="majorBidi"/>
          <w:i/>
          <w:iCs/>
        </w:rPr>
        <w:t>27</w:t>
      </w:r>
      <w:r w:rsidR="00012DE5" w:rsidRPr="00CB0133">
        <w:rPr>
          <w:rFonts w:asciiTheme="majorBidi" w:hAnsiTheme="majorBidi" w:cstheme="majorBidi"/>
        </w:rPr>
        <w:t>(2), 253–271.</w:t>
      </w:r>
      <w:r w:rsidR="0061167D" w:rsidRPr="00CB0133">
        <w:rPr>
          <w:rFonts w:asciiTheme="majorBidi" w:hAnsiTheme="majorBidi" w:cstheme="majorBidi"/>
        </w:rPr>
        <w:t xml:space="preserve">; </w:t>
      </w:r>
      <w:r w:rsidR="00012DE5" w:rsidRPr="00CB0133">
        <w:rPr>
          <w:rFonts w:asciiTheme="majorBidi" w:hAnsiTheme="majorBidi" w:cstheme="majorBidi"/>
        </w:rPr>
        <w:t xml:space="preserve">Kahn, J. (2007). Race in a Bottle. </w:t>
      </w:r>
      <w:r w:rsidR="00012DE5" w:rsidRPr="00CB0133">
        <w:rPr>
          <w:rFonts w:asciiTheme="majorBidi" w:hAnsiTheme="majorBidi" w:cstheme="majorBidi"/>
          <w:i/>
          <w:iCs/>
        </w:rPr>
        <w:t>Scientific American</w:t>
      </w:r>
      <w:r w:rsidR="00012DE5" w:rsidRPr="00CB0133">
        <w:rPr>
          <w:rFonts w:asciiTheme="majorBidi" w:hAnsiTheme="majorBidi" w:cstheme="majorBidi"/>
        </w:rPr>
        <w:t xml:space="preserve">. </w:t>
      </w:r>
      <w:r w:rsidR="00012DE5" w:rsidRPr="00CB0133">
        <w:rPr>
          <w:rFonts w:asciiTheme="majorBidi" w:hAnsiTheme="majorBidi" w:cstheme="majorBidi"/>
          <w:i/>
          <w:iCs/>
        </w:rPr>
        <w:t>297</w:t>
      </w:r>
      <w:r w:rsidR="00012DE5" w:rsidRPr="00CB0133">
        <w:rPr>
          <w:rFonts w:asciiTheme="majorBidi" w:hAnsiTheme="majorBidi" w:cstheme="majorBidi"/>
        </w:rPr>
        <w:t xml:space="preserve">, 40–45.Kahn, J. (2006). Patenting Race. </w:t>
      </w:r>
      <w:r w:rsidR="00012DE5" w:rsidRPr="00CB0133">
        <w:rPr>
          <w:rFonts w:asciiTheme="majorBidi" w:hAnsiTheme="majorBidi" w:cstheme="majorBidi"/>
          <w:i/>
          <w:iCs/>
        </w:rPr>
        <w:t>Nature Biotechnology</w:t>
      </w:r>
      <w:r w:rsidR="00012DE5" w:rsidRPr="00CB0133">
        <w:rPr>
          <w:rFonts w:asciiTheme="majorBidi" w:hAnsiTheme="majorBidi" w:cstheme="majorBidi"/>
        </w:rPr>
        <w:t xml:space="preserve">. </w:t>
      </w:r>
      <w:r w:rsidR="00012DE5" w:rsidRPr="00CB0133">
        <w:rPr>
          <w:rFonts w:asciiTheme="majorBidi" w:hAnsiTheme="majorBidi" w:cstheme="majorBidi"/>
          <w:i/>
          <w:iCs/>
        </w:rPr>
        <w:t>24</w:t>
      </w:r>
      <w:r w:rsidR="00012DE5" w:rsidRPr="00CB0133">
        <w:rPr>
          <w:rFonts w:asciiTheme="majorBidi" w:hAnsiTheme="majorBidi" w:cstheme="majorBidi"/>
        </w:rPr>
        <w:t>(11), 1349–1351.</w:t>
      </w:r>
      <w:r w:rsidR="0061167D" w:rsidRPr="00CB0133">
        <w:rPr>
          <w:rFonts w:asciiTheme="majorBidi" w:hAnsiTheme="majorBidi" w:cstheme="majorBidi"/>
        </w:rPr>
        <w:t xml:space="preserve">; </w:t>
      </w:r>
      <w:r w:rsidR="00012DE5" w:rsidRPr="00CB0133">
        <w:rPr>
          <w:rFonts w:asciiTheme="majorBidi" w:hAnsiTheme="majorBidi" w:cstheme="majorBidi"/>
        </w:rPr>
        <w:t xml:space="preserve">Weigmann, K. (2006). Racial medicine: here to stay? </w:t>
      </w:r>
      <w:r w:rsidR="00012DE5" w:rsidRPr="00CB0133">
        <w:rPr>
          <w:rFonts w:asciiTheme="majorBidi" w:hAnsiTheme="majorBidi" w:cstheme="majorBidi"/>
          <w:i/>
          <w:iCs/>
        </w:rPr>
        <w:t>EMBO Reports</w:t>
      </w:r>
      <w:r w:rsidR="00012DE5" w:rsidRPr="00CB0133">
        <w:rPr>
          <w:rFonts w:asciiTheme="majorBidi" w:hAnsiTheme="majorBidi" w:cstheme="majorBidi"/>
        </w:rPr>
        <w:t xml:space="preserve">. </w:t>
      </w:r>
      <w:r w:rsidR="00012DE5" w:rsidRPr="00CB0133">
        <w:rPr>
          <w:rFonts w:asciiTheme="majorBidi" w:hAnsiTheme="majorBidi" w:cstheme="majorBidi"/>
          <w:i/>
          <w:iCs/>
        </w:rPr>
        <w:t>7</w:t>
      </w:r>
      <w:r w:rsidR="00012DE5" w:rsidRPr="00CB0133">
        <w:rPr>
          <w:rFonts w:asciiTheme="majorBidi" w:hAnsiTheme="majorBidi" w:cstheme="majorBidi"/>
        </w:rPr>
        <w:t>(3), 246–249. https://doi.org/10.1038/sj.embor.7400654</w:t>
      </w:r>
      <w:r w:rsidR="0061167D" w:rsidRPr="00CB0133">
        <w:rPr>
          <w:rFonts w:asciiTheme="majorBidi" w:hAnsiTheme="majorBidi" w:cstheme="majorBidi"/>
        </w:rPr>
        <w:t xml:space="preserve">; </w:t>
      </w:r>
      <w:r w:rsidR="00012DE5" w:rsidRPr="00CB0133">
        <w:rPr>
          <w:rFonts w:asciiTheme="majorBidi" w:hAnsiTheme="majorBidi" w:cstheme="majorBidi"/>
        </w:rPr>
        <w:t xml:space="preserve">Duster, T. (2003). Backdoor to Eugenics. New York: Routledge.Root, M. (2003). The Use of Race in Medicine as a Proxy for Genetic Differences. </w:t>
      </w:r>
      <w:r w:rsidR="00012DE5" w:rsidRPr="00CB0133">
        <w:rPr>
          <w:rFonts w:asciiTheme="majorBidi" w:hAnsiTheme="majorBidi" w:cstheme="majorBidi"/>
          <w:i/>
          <w:iCs/>
        </w:rPr>
        <w:t>Philosophy of Science</w:t>
      </w:r>
      <w:r w:rsidR="00012DE5" w:rsidRPr="00CB0133">
        <w:rPr>
          <w:rFonts w:asciiTheme="majorBidi" w:hAnsiTheme="majorBidi" w:cstheme="majorBidi"/>
        </w:rPr>
        <w:t xml:space="preserve">. </w:t>
      </w:r>
      <w:r w:rsidR="00012DE5" w:rsidRPr="00CB0133">
        <w:rPr>
          <w:rFonts w:asciiTheme="majorBidi" w:hAnsiTheme="majorBidi" w:cstheme="majorBidi"/>
          <w:i/>
          <w:iCs/>
        </w:rPr>
        <w:t>70</w:t>
      </w:r>
      <w:r w:rsidR="00012DE5" w:rsidRPr="00CB0133">
        <w:rPr>
          <w:rFonts w:asciiTheme="majorBidi" w:hAnsiTheme="majorBidi" w:cstheme="majorBidi"/>
        </w:rPr>
        <w:t>(5), 1173–83.</w:t>
      </w:r>
      <w:r w:rsidRPr="00CB0133">
        <w:rPr>
          <w:rFonts w:asciiTheme="majorBidi" w:hAnsiTheme="majorBidi" w:cstheme="majorBidi"/>
        </w:rPr>
        <w:fldChar w:fldCharType="end"/>
      </w:r>
    </w:p>
  </w:footnote>
  <w:footnote w:id="21">
    <w:p w14:paraId="5EE49481" w14:textId="555E0A61"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{"citationID":"sQfdkt6H","properties":{"formattedCitation":"Duster (op. cit. n. 23)Fullwiley, D. (n.d.). The Molecularization of Race: Institutionalizing Human Difference in Pharmacogenetics Practice. {\\i{}Science as Culture}. {\\i{}16}(1), 1\\uc0\\u8211{}30.","plainCitation":"Duster (op. cit. n. 23)Fullwiley, D. (n.d.). The Molecularization of Race: Institutionalizing Human Difference in Pharmacogenetics Practice. Science as Culture. 16(1), 1–30.","dontUpdate":true,"noteIndex":21},"citationItems":[{"id":1561,"uris":["http://zotero.org/users/1170976/items/V7DS3I3A"],"uri":["http://zotero.org/users/1170976/items/V7DS3I3A"],"itemData":{"id":1561,"type":"book","event-place":"New York","publisher":"Routledge","publisher-place":"New York","title":"Backdoor to Eugenics","author":[{"family":"Duster","given":"Troy"}],"issued":{"date-parts":[["2003"]]}}},{"id":1562,"uris":["http://zotero.org/users/1170976/items/HV6TTZGV"],"uri":["http://zotero.org/users/1170976/items/HV6TTZGV"],"itemData":{"id":1562,"type":"article-journal","container-title":"Science as Culture","issue":"1","page":"1-30","title":"The Molecularization of Race: Institutionalizing Human Difference in Pharmacogenetics Practice","volume":"16","author":[{"family":"Fullwiley","given":"Duana"}],"issued":{"date-parts":[["2007"]]}}}],"schema":"https://github.com/citation-style-language/schema/raw/master/csl-citation.json"}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Duster (op. cit. n. 23)</w:t>
      </w:r>
      <w:r w:rsidR="0061167D" w:rsidRPr="00CB0133">
        <w:rPr>
          <w:rFonts w:asciiTheme="majorBidi" w:hAnsiTheme="majorBidi" w:cstheme="majorBidi"/>
        </w:rPr>
        <w:t xml:space="preserve">; </w:t>
      </w:r>
      <w:r w:rsidRPr="00CB0133">
        <w:rPr>
          <w:rFonts w:asciiTheme="majorBidi" w:hAnsiTheme="majorBidi" w:cstheme="majorBidi"/>
        </w:rPr>
        <w:t>Fullwiley, D. (</w:t>
      </w:r>
      <w:r w:rsidR="0061167D" w:rsidRPr="00CB0133">
        <w:rPr>
          <w:rFonts w:asciiTheme="majorBidi" w:hAnsiTheme="majorBidi" w:cstheme="majorBidi"/>
        </w:rPr>
        <w:t>2007</w:t>
      </w:r>
      <w:r w:rsidRPr="00CB0133">
        <w:rPr>
          <w:rFonts w:asciiTheme="majorBidi" w:hAnsiTheme="majorBidi" w:cstheme="majorBidi"/>
        </w:rPr>
        <w:t xml:space="preserve">). The Molecularization of Race: Institutionalizing Human Difference in Pharmacogenetics Practice. </w:t>
      </w:r>
      <w:r w:rsidRPr="00CB0133">
        <w:rPr>
          <w:rFonts w:asciiTheme="majorBidi" w:hAnsiTheme="majorBidi" w:cstheme="majorBidi"/>
          <w:i/>
          <w:iCs/>
        </w:rPr>
        <w:t>Science as Culture</w:t>
      </w:r>
      <w:r w:rsidRPr="00CB0133">
        <w:rPr>
          <w:rFonts w:asciiTheme="majorBidi" w:hAnsiTheme="majorBidi" w:cstheme="majorBidi"/>
        </w:rPr>
        <w:t xml:space="preserve">. </w:t>
      </w:r>
      <w:r w:rsidRPr="00CB0133">
        <w:rPr>
          <w:rFonts w:asciiTheme="majorBidi" w:hAnsiTheme="majorBidi" w:cstheme="majorBidi"/>
          <w:i/>
          <w:iCs/>
        </w:rPr>
        <w:t>16</w:t>
      </w:r>
      <w:r w:rsidRPr="00CB0133">
        <w:rPr>
          <w:rFonts w:asciiTheme="majorBidi" w:hAnsiTheme="majorBidi" w:cstheme="majorBidi"/>
        </w:rPr>
        <w:t>(1), 1–30.</w:t>
      </w:r>
      <w:r w:rsidRPr="00CB0133">
        <w:rPr>
          <w:rFonts w:asciiTheme="majorBidi" w:hAnsiTheme="majorBidi" w:cstheme="majorBidi"/>
        </w:rPr>
        <w:fldChar w:fldCharType="end"/>
      </w:r>
    </w:p>
  </w:footnote>
  <w:footnote w:id="22">
    <w:p w14:paraId="0A641BD6" w14:textId="555D3354"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{"citationID":"Ybm3OTlM","properties":{"formattedCitation":"Buss, D.M. (1985). Human Mate Selection: Opposites are sometimes said to attract, but in fact we are likely to marry someone who is similar to us in almost every variable. {\\i{}American Scientist}. {\\i{}73}(1), 47\\uc0\\u8211{}51.","plainCitation":"Buss, D.M. (1985). Human Mate Selection: Opposites are sometimes said to attract, but in fact we are likely to marry someone who is similar to us in almost every variable. American Scientist. 73(1), 47–51.","noteIndex":21},"citationItems":[{"id":1583,"uris":["http://zotero.org/users/1170976/items/9VECM4K9"],"uri":["http://zotero.org/users/1170976/items/9VECM4K9"],"itemData":{"id":1583,"type":"article-journal","container-title":"American Scientist","issue":"1","page":"47-51","title":"Human Mate Selection: Opposites are sometimes said to attract, but in fact we are likely to marry someone who is similar to us in almost every variable","volume":"73","author":[{"family":"Buss","given":"David M."}],"issued":{"date-parts":[["1985"]]}}}],"schema":"https://github.com/citation-style-language/schema/raw/master/csl-citation.json"}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Buss, D.M. (1985). Human Mate Selection: Opposites are sometimes said to attract, but in fact we are likely to marry someone who is similar to us in almost every variable. </w:t>
      </w:r>
      <w:r w:rsidRPr="00CB0133">
        <w:rPr>
          <w:rFonts w:asciiTheme="majorBidi" w:hAnsiTheme="majorBidi" w:cstheme="majorBidi"/>
          <w:i/>
          <w:iCs/>
        </w:rPr>
        <w:t>American Scientist</w:t>
      </w:r>
      <w:r w:rsidRPr="00CB0133">
        <w:rPr>
          <w:rFonts w:asciiTheme="majorBidi" w:hAnsiTheme="majorBidi" w:cstheme="majorBidi"/>
        </w:rPr>
        <w:t xml:space="preserve">. </w:t>
      </w:r>
      <w:r w:rsidRPr="00CB0133">
        <w:rPr>
          <w:rFonts w:asciiTheme="majorBidi" w:hAnsiTheme="majorBidi" w:cstheme="majorBidi"/>
          <w:i/>
          <w:iCs/>
        </w:rPr>
        <w:t>73</w:t>
      </w:r>
      <w:r w:rsidRPr="00CB0133">
        <w:rPr>
          <w:rFonts w:asciiTheme="majorBidi" w:hAnsiTheme="majorBidi" w:cstheme="majorBidi"/>
        </w:rPr>
        <w:t>(1), 47–51.</w:t>
      </w:r>
      <w:r w:rsidRPr="00CB0133">
        <w:rPr>
          <w:rFonts w:asciiTheme="majorBidi" w:hAnsiTheme="majorBidi" w:cstheme="majorBidi"/>
        </w:rPr>
        <w:fldChar w:fldCharType="end"/>
      </w:r>
    </w:p>
  </w:footnote>
  <w:footnote w:id="23">
    <w:p w14:paraId="2950472C" w14:textId="59D2BD08"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{"citationID":"UFxWP9zH","properties":{"formattedCitation":"Bamshad, M. (2005). Genetic Influences on Health: Does Race Matter? {\\i{}JAMA}. {\\i{}294}(8), 937. https://doi.org/10.1001/jama.294.8.937","plainCitation":"Bamshad, M. (2005). Genetic Influences on Health: Does Race Matter? JAMA. 294(8), 937. https://doi.org/10.1001/jama.294.8.937","noteIndex":23},"citationItems":[{"id":1581,"uris":["http://zotero.org/users/1170976/items/KIQNRT3B"],"uri":["http://zotero.org/users/1170976/items/KIQNRT3B"],"itemData":{"id":1581,"type":"article-journal","container-title":"JAMA","DOI":"10.1001/jama.294.8.937","ISSN":"0098-7484","issue":"8","language":"en","page":"937","source":"Crossref","title":"Genetic Influences on Health: Does Race Matter?","title-short":"Genetic Influences on Health","volume":"294","author":[{"family":"Bamshad","given":"Mike"}],"issued":{"date-parts":[["2005",8,24]]}}}],"schema":"https://github.com/citation-style-language/schema/raw/master/csl-citation.json"}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Bamshad, M. (2005). Genetic Influences on Health: Does Race Matter? </w:t>
      </w:r>
      <w:r w:rsidRPr="00CB0133">
        <w:rPr>
          <w:rFonts w:asciiTheme="majorBidi" w:hAnsiTheme="majorBidi" w:cstheme="majorBidi"/>
          <w:i/>
          <w:iCs/>
        </w:rPr>
        <w:t>JAMA</w:t>
      </w:r>
      <w:r w:rsidRPr="00CB0133">
        <w:rPr>
          <w:rFonts w:asciiTheme="majorBidi" w:hAnsiTheme="majorBidi" w:cstheme="majorBidi"/>
        </w:rPr>
        <w:t xml:space="preserve">. </w:t>
      </w:r>
      <w:r w:rsidRPr="00CB0133">
        <w:rPr>
          <w:rFonts w:asciiTheme="majorBidi" w:hAnsiTheme="majorBidi" w:cstheme="majorBidi"/>
          <w:i/>
          <w:iCs/>
        </w:rPr>
        <w:t>294</w:t>
      </w:r>
      <w:r w:rsidRPr="00CB0133">
        <w:rPr>
          <w:rFonts w:asciiTheme="majorBidi" w:hAnsiTheme="majorBidi" w:cstheme="majorBidi"/>
        </w:rPr>
        <w:t>(8), 937. https://doi.org/10.1001/jama.294.8.937</w:t>
      </w:r>
      <w:r w:rsidRPr="00CB0133">
        <w:rPr>
          <w:rFonts w:asciiTheme="majorBidi" w:hAnsiTheme="majorBidi" w:cstheme="majorBidi"/>
        </w:rPr>
        <w:fldChar w:fldCharType="end"/>
      </w:r>
    </w:p>
  </w:footnote>
  <w:footnote w:id="24">
    <w:p w14:paraId="00C0377A" w14:textId="526A08DC" w:rsidR="00463DA8" w:rsidRPr="00CB0133" w:rsidRDefault="00463DA8">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{"citationID":"BP5oq3a2","properties":{"formattedCitation":"Wilson, J.F., Weale, M.E., Smith, A.C., Gratrix, F., Fletcher, B., Thomas, M.G., \\uc0\\u8230{} Goldstein, D.B. (2001). Population genetic structure of variable drug response. {\\i{}Nature Genetics}. {\\i{}29}(3), 265\\uc0\\u8211{}269. https://doi.org/10.1038/ng761","plainCitation":"Wilson, J.F., Weale, M.E., Smith, A.C., Gratrix, F., Fletcher, B., Thomas, M.G., … Goldstein, D.B. (2001). Population genetic structure of variable drug response. Nature Genetics. 29(3), 265–269. https://doi.org/10.1038/ng761","noteIndex":23},"citationItems":[{"id":1621,"uris":["http://zotero.org/users/1170976/items/UZKVMR4Y"],"uri":["http://zotero.org/users/1170976/items/UZKVMR4Y"],"itemData":{"id":1621,"type":"article-journal","container-title":"Nature Genetics","DOI":"10.1038/ng761","ISSN":"1061-4036, 1546-1718","issue":"3","language":"en","page":"265-269","source":"Crossref","title":"Population genetic structure of variable drug response","volume":"29","author":[{"family":"Wilson","given":"James F."},{"family":"Weale","given":"Michael E."},{"family":"Smith","given":"Alice C."},{"family":"Gratrix","given":"Fiona"},{"family":"Fletcher","given":"Benjamin"},{"family":"Thomas","given":"Mark G."},{"family":"Bradman","given":"Neil"},{"family":"Goldstein","given":"David B."}],"issued":{"date-parts":[["2001",11]]}}}],"schema":"https://github.com/citation-style-language/schema/raw/master/csl-citation.json"}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Wilson, J.F., Weale, M.E., Smith, A.C., Gratrix, F., Fletcher, B., Thomas, M.G., … Goldstein, D.B. (2001). Population genetic structure of variable drug response. </w:t>
      </w:r>
      <w:r w:rsidRPr="00CB0133">
        <w:rPr>
          <w:rFonts w:asciiTheme="majorBidi" w:hAnsiTheme="majorBidi" w:cstheme="majorBidi"/>
          <w:i/>
          <w:iCs/>
        </w:rPr>
        <w:t>Nature Genetics</w:t>
      </w:r>
      <w:r w:rsidRPr="00CB0133">
        <w:rPr>
          <w:rFonts w:asciiTheme="majorBidi" w:hAnsiTheme="majorBidi" w:cstheme="majorBidi"/>
        </w:rPr>
        <w:t xml:space="preserve">. </w:t>
      </w:r>
      <w:r w:rsidRPr="00CB0133">
        <w:rPr>
          <w:rFonts w:asciiTheme="majorBidi" w:hAnsiTheme="majorBidi" w:cstheme="majorBidi"/>
          <w:i/>
          <w:iCs/>
        </w:rPr>
        <w:t>29</w:t>
      </w:r>
      <w:r w:rsidRPr="00CB0133">
        <w:rPr>
          <w:rFonts w:asciiTheme="majorBidi" w:hAnsiTheme="majorBidi" w:cstheme="majorBidi"/>
        </w:rPr>
        <w:t>(3), 265–269. https://doi.org/10.1038/ng761</w:t>
      </w:r>
      <w:r w:rsidRPr="00CB0133">
        <w:rPr>
          <w:rFonts w:asciiTheme="majorBidi" w:hAnsiTheme="majorBidi" w:cstheme="majorBidi"/>
        </w:rPr>
        <w:fldChar w:fldCharType="end"/>
      </w:r>
    </w:p>
  </w:footnote>
  <w:footnote w:id="25">
    <w:p w14:paraId="5EEAE800" w14:textId="271E2AA6"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{"citationID":"q8ExpYtk","properties":{"formattedCitation":"Cohn, Henderson, Appelbaum (op. cit. n. 6) : 157\\uc0\\u8211{}159","plainCitation":"Cohn, Henderson, Appelbaum (op. cit. n. 6) : 157–159","noteIndex":24},"citationItems":[{"id":1511,"uris":["http://zotero.org/users/1170976/items/D6IT87UR"],"uri":["http://zotero.org/users/1170976/items/D6IT87UR"],"itemData":{"id":1511,"type":"article-journal","container-title":"Genetics in Medicine","DOI":"10.1038/gim.2016.92","ISSN":"1098-3600, 1530-0366","issue":"2","page":"157-159","source":"Crossref","title":"Distributive justice, diversity, and inclusion in precision medicine: what will success look like?","title-short":"Distributive justice, diversity, and inclusion in precision medicine","volume":"19","author":[{"family":"Cohn","given":"Elizabeth G."},{"family":"Henderson","given":"Gail E."},{"family":"Appelbaum","given":"Paul S."}],"issued":{"date-parts":[["2017",2]]}}}],"schema":"https://github.com/citation-style-language/schema/raw/master/csl-citation.json"} </w:instrText>
      </w:r>
      <w:r w:rsidRPr="00CB0133">
        <w:rPr>
          <w:rFonts w:asciiTheme="majorBidi" w:hAnsiTheme="majorBidi" w:cstheme="majorBidi"/>
        </w:rPr>
        <w:fldChar w:fldCharType="separate"/>
      </w:r>
      <w:r w:rsidR="00CA2D8C" w:rsidRPr="00E1494A">
        <w:rPr>
          <w:rFonts w:ascii="Times New Roman" w:hAnsi="Times New Roman" w:cs="Times New Roman"/>
          <w:szCs w:val="24"/>
        </w:rPr>
        <w:t>Cohn, Henderson, Appelbaum (op. cit. n. 6) : 157–159</w:t>
      </w:r>
      <w:r w:rsidRPr="00CB0133">
        <w:rPr>
          <w:rFonts w:asciiTheme="majorBidi" w:hAnsiTheme="majorBidi" w:cstheme="majorBidi"/>
        </w:rPr>
        <w:fldChar w:fldCharType="end"/>
      </w:r>
    </w:p>
  </w:footnote>
  <w:footnote w:id="26">
    <w:p w14:paraId="04156B1A" w14:textId="378AF5CE"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lang w:val="fr-CA"/>
        </w:rPr>
        <w:t xml:space="preserve"> </w:t>
      </w:r>
      <w:r w:rsidRPr="00CB0133">
        <w:rPr>
          <w:rFonts w:asciiTheme="majorBidi" w:hAnsiTheme="majorBidi" w:cstheme="majorBidi"/>
        </w:rPr>
        <w:fldChar w:fldCharType="begin"/>
      </w:r>
      <w:r w:rsidR="00CA2D8C">
        <w:rPr>
          <w:rFonts w:asciiTheme="majorBidi" w:hAnsiTheme="majorBidi" w:cstheme="majorBidi"/>
          <w:lang w:val="fr-CA"/>
        </w:rPr>
        <w:instrText xml:space="preserve"> ADDIN ZOTERO_ITEM CSL_CITATION {"citationID":"Y1YKYBty","properties":{"formattedCitation":"Lillie-Blanton, M., &amp; Laveist, T. (1996). Race/ethnicity, the social environment, and health. {\\i{}Social Science &amp; Medicine}. {\\i{}43}(1), 83\\uc0\\u8211{}91. https://doi.org/10.1016/0277-9536(95)00337-1","plainCitation":"Lillie-Blanton, M., &amp; Laveist, T. (1996). Race/ethnicity, the social environment, and health. Social Science &amp; Medicine. 43(1), 83–91. https://doi.org/10.1016/0277-9536(95)00337-1","noteIndex":25},"citationItems":[{"id":1582,"uris":["http://zotero.org/users/1170976/items/SWSAQ2JW"],"uri":["http://zotero.org/users/1170976/items/SWSAQ2JW"],"itemData":{"id":1582,"type":"article-journal","container-title":"Social Science &amp; Medicine","DOI":"10.1016/0277-9536(95)00337-1","ISSN":"02779536","issue":"1","language":"en","page":"83-91","source":"Crossref","title":"Race/ethnicity, the social environment, and health","volume":"43","author":[{"family":"Lillie-Blanton","given":"Marsha"},{"family":"Laveist","given":"Thomas"}],"issued":{"date-parts":[["1996",7]]}}}],"schema":"https://github.com/citation-style-language/schema/raw/master/csl-citation.json"}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lang w:val="fr-CA"/>
        </w:rPr>
        <w:t xml:space="preserve">Lillie-Blanton, M., &amp; Laveist, T. (1996). </w:t>
      </w:r>
      <w:r w:rsidRPr="00CB0133">
        <w:rPr>
          <w:rFonts w:asciiTheme="majorBidi" w:hAnsiTheme="majorBidi" w:cstheme="majorBidi"/>
        </w:rPr>
        <w:t xml:space="preserve">Race/ethnicity, the social environment, and health. </w:t>
      </w:r>
      <w:r w:rsidRPr="00CB0133">
        <w:rPr>
          <w:rFonts w:asciiTheme="majorBidi" w:hAnsiTheme="majorBidi" w:cstheme="majorBidi"/>
          <w:i/>
          <w:iCs/>
        </w:rPr>
        <w:t>Social Science &amp; Medicine</w:t>
      </w:r>
      <w:r w:rsidRPr="00CB0133">
        <w:rPr>
          <w:rFonts w:asciiTheme="majorBidi" w:hAnsiTheme="majorBidi" w:cstheme="majorBidi"/>
        </w:rPr>
        <w:t xml:space="preserve">. </w:t>
      </w:r>
      <w:r w:rsidRPr="00CB0133">
        <w:rPr>
          <w:rFonts w:asciiTheme="majorBidi" w:hAnsiTheme="majorBidi" w:cstheme="majorBidi"/>
          <w:i/>
          <w:iCs/>
        </w:rPr>
        <w:t>43</w:t>
      </w:r>
      <w:r w:rsidRPr="00CB0133">
        <w:rPr>
          <w:rFonts w:asciiTheme="majorBidi" w:hAnsiTheme="majorBidi" w:cstheme="majorBidi"/>
        </w:rPr>
        <w:t>(1), 83–91. https://doi.org/10.1016/0277-9536(95)00337-1</w:t>
      </w:r>
      <w:r w:rsidRPr="00CB0133">
        <w:rPr>
          <w:rFonts w:asciiTheme="majorBidi" w:hAnsiTheme="majorBidi" w:cstheme="majorBidi"/>
        </w:rPr>
        <w:fldChar w:fldCharType="end"/>
      </w:r>
    </w:p>
  </w:footnote>
  <w:footnote w:id="27">
    <w:p w14:paraId="0A7AFCC1" w14:textId="50FAF093"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{"citationID":"zp8C84Tn","properties":{"formattedCitation":"Bamshad (op. cit. n. 23) : 937","plainCitation":"Bamshad (op. cit. n. 23) : 937","noteIndex":27},"citationItems":[{"id":1581,"uris":["http://zotero.org/users/1170976/items/KIQNRT3B"],"uri":["http://zotero.org/users/1170976/items/KIQNRT3B"],"itemData":{"id":1581,"type":"article-journal","container-title":"JAMA","DOI":"10.1001/jama.294.8.937","ISSN":"0098-7484","issue":"8","language":"en","page":"937","source":"Crossref","title":"Genetic Influences on Health: Does Race Matter?","title-short":"Genetic Influences on Health","volume":"294","author":[{"family":"Bamshad","given":"Mike"}],"issued":{"date-parts":[["2005",8,24]]}}}],"schema":"https://github.com/citation-style-language/schema/raw/master/csl-citation.json"} </w:instrText>
      </w:r>
      <w:r w:rsidRPr="00CB0133">
        <w:rPr>
          <w:rFonts w:asciiTheme="majorBidi" w:hAnsiTheme="majorBidi" w:cstheme="majorBidi"/>
        </w:rPr>
        <w:fldChar w:fldCharType="separate"/>
      </w:r>
      <w:r w:rsidR="000C4A6A" w:rsidRPr="000C4A6A">
        <w:t>Bamshad (op. cit. n. 23) : 937</w:t>
      </w:r>
      <w:r w:rsidRPr="00CB0133">
        <w:rPr>
          <w:rFonts w:asciiTheme="majorBidi" w:hAnsiTheme="majorBidi" w:cstheme="majorBidi"/>
        </w:rPr>
        <w:fldChar w:fldCharType="end"/>
      </w:r>
    </w:p>
  </w:footnote>
  <w:footnote w:id="28">
    <w:p w14:paraId="557FB0FF" w14:textId="06A74250"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{"citationID":"y5iUEP76","properties":{"formattedCitation":"Takezawa, Y., Kato, K., Oota, H., Caulfield, T., Fujimoto, A., Honda, S., \\uc0\\u8230{} Tokunaga, K. (2014). Human genetic research, race, ethnicity and the labeling of populations: recommendations based on an interdisciplinary workshop in Japan. {\\i{}BMC Medical Ethics}. {\\i{}15}(1). https://doi.org/10.1186/1472-6939-15-33de Vries, J., Jallow, M., Williams, T.N., Kwiatkowski, D., Parker, M., &amp; Fitzpatrick, R. (2012). Investigating the potential for ethnic group harm in collaborative genomics research in Africa: Is ethnic stigmatisation likely? {\\i{}Social Science &amp; Medicine}. {\\i{}75}(8), 1400\\uc0\\u8211{}1407. https://doi.org/10.1016/j.socscimed.2012.05.020","plainCitation":"Takezawa, Y., Kato, K., Oota, H., Caulfield, T., Fujimoto, A., Honda, S., … Tokunaga, K. (2014). Human genetic research, race, ethnicity and the labeling of populations: recommendations based on an interdisciplinary workshop in Japan. BMC Medical Ethics. 15(1). https://doi.org/10.1186/1472-6939-15-33de Vries, J., Jallow, M., Williams, T.N., Kwiatkowski, D., Parker, M., &amp; Fitzpatrick, R. (2012). Investigating the potential for ethnic group harm in collaborative genomics research in Africa: Is ethnic stigmatisation likely? Social Science &amp; Medicine. 75(8), 1400–1407. https://doi.org/10.1016/j.socscimed.2012.05.020","dontUpdate":true,"noteIndex":27},"citationItems":[{"id":1527,"uris":["http://zotero.org/users/1170976/items/S49N34AU"],"uri":["http://zotero.org/users/1170976/items/S49N34AU"],"itemData":{"id":1527,"type":"article-journal","container-title":"Social Science &amp; Medicine","DOI":"10.1016/j.socscimed.2012.05.020","ISSN":"02779536","issue":"8","language":"en","page":"1400-1407","source":"Crossref","title":"Investigating the potential for ethnic group harm in collaborative genomics research in Africa: Is ethnic stigmatisation likely?","title-short":"Investigating the potential for ethnic group harm in collaborative genomics research in Africa","volume":"75","author":[{"family":"Vries","given":"Jantina","non-dropping-particle":"de"},{"family":"Jallow","given":"Muminatou"},{"family":"Williams","given":"Thomas N."},{"family":"Kwiatkowski","given":"Dominic"},{"family":"Parker","given":"Michael"},{"family":"Fitzpatrick","given":"Raymond"}],"issued":{"date-parts":[["2012",10]]}}},{"id":1528,"uris":["http://zotero.org/users/1170976/items/2VJCCTX3"],"uri":["http://zotero.org/users/1170976/items/2VJCCTX3"],"itemData":{"id":1528,"type":"article-journal","container-title":"BMC Medical Ethics","DOI":"10.1186/1472-6939-15-33","ISSN":"1472-6939","issue":"1","language":"en","source":"Crossref","title":"Human genetic research, race, ethnicity and the labeling of populations: recommendations based on an interdisciplinary workshop in Japan","title-short":"Human genetic research, race, ethnicity and the labeling of populations","URL":"https://bmcmedethics.biomedcentral.com/articles/10.1186/1472-6939-15-33","volume":"15","author":[{"family":"Takezawa","given":"Yasuko"},{"family":"Kato","given":"Kazuto"},{"family":"Oota","given":"Hiroki"},{"family":"Caulfield","given":"Timothy"},{"family":"Fujimoto","given":"Akihiro"},{"family":"Honda","given":"Shunwa"},{"family":"Kamatani","given":"Naoyuki"},{"family":"Kawamura","given":"Shoji"},{"family":"Kawashima","given":"Kohei"},{"family":"Kimura","given":"Ryosuke"},{"family":"Matsumae","given":"Hiromi"},{"family":"Saito","given":"Ayako"},{"family":"Savage","given":"Patrick E"},{"family":"Seguchi","given":"Noriko"},{"family":"Shimizu","given":"Keiko"},{"family":"Terao","given":"Satoshi"},{"family":"Yamaguchi-Kabata","given":"Yumi"},{"family":"Yasukouchi","given":"Akira"},{"family":"Yoneda","given":"Minoru"},{"family":"Tokunaga","given":"Katsushi"}],"accessed":{"date-parts":[["2019",3,21]]},"issued":{"date-parts":[["2014",12]]}}}],"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Takezawa, Y., Kato, K., Oota, H., Caulfield, T., Fujimoto, A., Honda, S., … Tokunaga, K. (2014). Human genetic research, race, ethnicity and the labeling of populations: recommendations based on an interdisciplinary workshop in Japan. </w:t>
      </w:r>
      <w:r w:rsidRPr="00CB0133">
        <w:rPr>
          <w:rFonts w:asciiTheme="majorBidi" w:hAnsiTheme="majorBidi" w:cstheme="majorBidi"/>
          <w:i/>
          <w:iCs/>
        </w:rPr>
        <w:t>BMC Medical Ethics</w:t>
      </w:r>
      <w:r w:rsidRPr="00CB0133">
        <w:rPr>
          <w:rFonts w:asciiTheme="majorBidi" w:hAnsiTheme="majorBidi" w:cstheme="majorBidi"/>
        </w:rPr>
        <w:t xml:space="preserve">. </w:t>
      </w:r>
      <w:r w:rsidRPr="00CB0133">
        <w:rPr>
          <w:rFonts w:asciiTheme="majorBidi" w:hAnsiTheme="majorBidi" w:cstheme="majorBidi"/>
          <w:i/>
          <w:iCs/>
        </w:rPr>
        <w:t>15</w:t>
      </w:r>
      <w:r w:rsidRPr="00CB0133">
        <w:rPr>
          <w:rFonts w:asciiTheme="majorBidi" w:hAnsiTheme="majorBidi" w:cstheme="majorBidi"/>
        </w:rPr>
        <w:t>(1). https://doi.org/10.1186/1472-6939-15-33</w:t>
      </w:r>
      <w:r w:rsidR="0061167D" w:rsidRPr="00CB0133">
        <w:rPr>
          <w:rFonts w:asciiTheme="majorBidi" w:hAnsiTheme="majorBidi" w:cstheme="majorBidi"/>
        </w:rPr>
        <w:t xml:space="preserve">; </w:t>
      </w:r>
      <w:r w:rsidRPr="00CB0133">
        <w:rPr>
          <w:rFonts w:asciiTheme="majorBidi" w:hAnsiTheme="majorBidi" w:cstheme="majorBidi"/>
        </w:rPr>
        <w:t xml:space="preserve">de Vries, J., Jallow, M., Williams, T.N., Kwiatkowski, D., Parker, M., &amp; Fitzpatrick, R. (2012). Investigating the potential for ethnic group harm in collaborative genomics research in Africa: Is ethnic stigmatisation likely? </w:t>
      </w:r>
      <w:r w:rsidRPr="00CB0133">
        <w:rPr>
          <w:rFonts w:asciiTheme="majorBidi" w:hAnsiTheme="majorBidi" w:cstheme="majorBidi"/>
          <w:i/>
          <w:iCs/>
        </w:rPr>
        <w:t>Social Science &amp; Medicine</w:t>
      </w:r>
      <w:r w:rsidRPr="00CB0133">
        <w:rPr>
          <w:rFonts w:asciiTheme="majorBidi" w:hAnsiTheme="majorBidi" w:cstheme="majorBidi"/>
        </w:rPr>
        <w:t xml:space="preserve">. </w:t>
      </w:r>
      <w:r w:rsidRPr="00CB0133">
        <w:rPr>
          <w:rFonts w:asciiTheme="majorBidi" w:hAnsiTheme="majorBidi" w:cstheme="majorBidi"/>
          <w:i/>
          <w:iCs/>
        </w:rPr>
        <w:t>75</w:t>
      </w:r>
      <w:r w:rsidRPr="00CB0133">
        <w:rPr>
          <w:rFonts w:asciiTheme="majorBidi" w:hAnsiTheme="majorBidi" w:cstheme="majorBidi"/>
        </w:rPr>
        <w:t>(8), 1400–1407. https://doi.org/10.1016/j.socscimed.2012.05.020</w:t>
      </w:r>
      <w:r w:rsidRPr="00CB0133">
        <w:rPr>
          <w:rFonts w:asciiTheme="majorBidi" w:hAnsiTheme="majorBidi" w:cstheme="majorBidi"/>
        </w:rPr>
        <w:fldChar w:fldCharType="end"/>
      </w:r>
    </w:p>
  </w:footnote>
  <w:footnote w:id="29">
    <w:p w14:paraId="48FA214F" w14:textId="00019B66"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{"citationID":"HJEmNoFA","properties":{"formattedCitation":"Duster (op. cit. n. 20)","plainCitation":"Duster (op. cit. n. 20)","noteIndex":29},"citationItems":[{"id":1561,"uris":["http://zotero.org/users/1170976/items/V7DS3I3A"],"uri":["http://zotero.org/users/1170976/items/V7DS3I3A"],"itemData":{"id":1561,"type":"book","event-place":"New York","publisher":"Routledge","publisher-place":"New York","title":"Backdoor to Eugenics","author":[{"family":"Duster","given":"Troy"}],"issued":{"date-parts":[["2003"]]}}}],"schema":"https://github.com/citation-style-language/schema/raw/master/csl-citation.json"} </w:instrText>
      </w:r>
      <w:r w:rsidRPr="00CB0133">
        <w:rPr>
          <w:rFonts w:asciiTheme="majorBidi" w:hAnsiTheme="majorBidi" w:cstheme="majorBidi"/>
        </w:rPr>
        <w:fldChar w:fldCharType="separate"/>
      </w:r>
      <w:r w:rsidR="000C4A6A" w:rsidRPr="000C4A6A">
        <w:t>Duster (op. cit. n. 20)</w:t>
      </w:r>
      <w:r w:rsidRPr="00CB0133">
        <w:rPr>
          <w:rFonts w:asciiTheme="majorBidi" w:hAnsiTheme="majorBidi" w:cstheme="majorBidi"/>
        </w:rPr>
        <w:fldChar w:fldCharType="end"/>
      </w:r>
    </w:p>
  </w:footnote>
  <w:footnote w:id="30">
    <w:p w14:paraId="6F98C407" w14:textId="39070DA0" w:rsidR="00463DA8" w:rsidRPr="00CB0133" w:rsidRDefault="00463DA8">
      <w:pPr>
        <w:pStyle w:val="FootnoteText"/>
        <w:rPr>
          <w:rFonts w:asciiTheme="majorBidi" w:hAnsiTheme="majorBidi" w:cstheme="majorBidi"/>
          <w:lang w:val="en-CA"/>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{"citationID":"CmBt9Qi7","properties":{"formattedCitation":"The International HapMap Consortium. (2003). The International HapMap Project. {\\i{}Nature}. {\\i{}426}(6968), 789\\uc0\\u8211{}796. https://doi.org/10.1038/nature02168","plainCitation":"The International HapMap Consortium. (2003). The International HapMap Project. Nature. 426(6968), 789–796. https://doi.org/10.1038/nature02168","noteIndex":29},"citationItems":[{"id":1579,"uris":["http://zotero.org/users/1170976/items/5X5M9QMU"],"uri":["http://zotero.org/users/1170976/items/5X5M9QMU"],"itemData":{"id":1579,"type":"article-journal","container-title":"Nature","DOI":"10.1038/nature02168","ISSN":"0028-0836, 1476-4687","issue":"6968","language":"en","page":"789-796","source":"Crossref","title":"The International HapMap Project","volume":"426","author":[{"literal":"The International HapMap Consortium"}],"issued":{"date-parts":[["2003",12]]}}}],"schema":"https://github.com/citation-style-language/schema/raw/master/csl-citation.json"}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The International HapMap Consortium. (2003). The International HapMap Project. </w:t>
      </w:r>
      <w:r w:rsidRPr="00CB0133">
        <w:rPr>
          <w:rFonts w:asciiTheme="majorBidi" w:hAnsiTheme="majorBidi" w:cstheme="majorBidi"/>
          <w:i/>
          <w:iCs/>
          <w:lang w:val="en-CA"/>
        </w:rPr>
        <w:t>Nature</w:t>
      </w:r>
      <w:r w:rsidRPr="00CB0133">
        <w:rPr>
          <w:rFonts w:asciiTheme="majorBidi" w:hAnsiTheme="majorBidi" w:cstheme="majorBidi"/>
          <w:lang w:val="en-CA"/>
        </w:rPr>
        <w:t xml:space="preserve">. </w:t>
      </w:r>
      <w:r w:rsidRPr="00CB0133">
        <w:rPr>
          <w:rFonts w:asciiTheme="majorBidi" w:hAnsiTheme="majorBidi" w:cstheme="majorBidi"/>
          <w:i/>
          <w:iCs/>
          <w:lang w:val="en-CA"/>
        </w:rPr>
        <w:t>426</w:t>
      </w:r>
      <w:r w:rsidRPr="00CB0133">
        <w:rPr>
          <w:rFonts w:asciiTheme="majorBidi" w:hAnsiTheme="majorBidi" w:cstheme="majorBidi"/>
          <w:lang w:val="en-CA"/>
        </w:rPr>
        <w:t>(6968), 789–796. https://doi.org/10.1038/nature02168</w:t>
      </w:r>
      <w:r w:rsidRPr="00CB0133">
        <w:rPr>
          <w:rFonts w:asciiTheme="majorBidi" w:hAnsiTheme="majorBidi" w:cstheme="majorBidi"/>
        </w:rPr>
        <w:fldChar w:fldCharType="end"/>
      </w:r>
    </w:p>
  </w:footnote>
  <w:footnote w:id="31">
    <w:p w14:paraId="74A6E6C1" w14:textId="4AE7DA78"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lang w:val="en-CA"/>
        </w:rPr>
        <w:t xml:space="preserve"> </w:t>
      </w:r>
      <w:r w:rsidRPr="00CB0133">
        <w:rPr>
          <w:rFonts w:asciiTheme="majorBidi" w:hAnsiTheme="majorBidi" w:cstheme="majorBidi"/>
        </w:rPr>
        <w:fldChar w:fldCharType="begin"/>
      </w:r>
      <w:r w:rsidR="00CA2D8C">
        <w:rPr>
          <w:rFonts w:asciiTheme="majorBidi" w:hAnsiTheme="majorBidi" w:cstheme="majorBidi"/>
          <w:lang w:val="en-CA"/>
        </w:rPr>
        <w:instrText xml:space="preserve"> ADDIN ZOTERO_ITEM CSL_CITATION {"citationID":"kn1UsZ33","properties":{"formattedCitation":"Ossorio, P. (2005). Race, Genetic Variation, and the Haplotype Mapping Project. {\\i{}Louisiana Law Review}. {\\i{}66}, 131\\uc0\\u8211{}143.","plainCitation":"Ossorio, P. (2005). Race, Genetic Variation, and the Haplotype Mapping Project. Louisiana Law Review. 66, 131–143.","noteIndex":30},"citationItems":[{"id":1578,"uris":["http://zotero.org/users/1170976/items/5EVNPRU4"],"uri":["http://zotero.org/users/1170976/items/5EVNPRU4"],"itemData":{"id":1578,"type":"article-journal","container-title":"Louisiana Law Review","page":"131-143","title":"Race, Genetic Variation, and the Haplotype Mapping Project","volume":"66","author":[{"family":"Ossorio","given":"Pilar"}],"issued":{"date-parts":[["2005"]]}}}],"schema":"https://github.com/citation-style-language/schema/raw/master/csl-citation.json"}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lang w:val="en-CA"/>
        </w:rPr>
        <w:t xml:space="preserve">Ossorio, P. (2005). Race, Genetic Variation, and the Haplotype Mapping Project. </w:t>
      </w:r>
      <w:r w:rsidRPr="00CB0133">
        <w:rPr>
          <w:rFonts w:asciiTheme="majorBidi" w:hAnsiTheme="majorBidi" w:cstheme="majorBidi"/>
          <w:i/>
          <w:iCs/>
        </w:rPr>
        <w:t>Louisiana Law Review</w:t>
      </w:r>
      <w:r w:rsidRPr="00CB0133">
        <w:rPr>
          <w:rFonts w:asciiTheme="majorBidi" w:hAnsiTheme="majorBidi" w:cstheme="majorBidi"/>
        </w:rPr>
        <w:t xml:space="preserve">. </w:t>
      </w:r>
      <w:r w:rsidRPr="00CB0133">
        <w:rPr>
          <w:rFonts w:asciiTheme="majorBidi" w:hAnsiTheme="majorBidi" w:cstheme="majorBidi"/>
          <w:i/>
          <w:iCs/>
        </w:rPr>
        <w:t>66</w:t>
      </w:r>
      <w:r w:rsidRPr="00CB0133">
        <w:rPr>
          <w:rFonts w:asciiTheme="majorBidi" w:hAnsiTheme="majorBidi" w:cstheme="majorBidi"/>
        </w:rPr>
        <w:t>, 131–143.</w:t>
      </w:r>
      <w:r w:rsidRPr="00CB0133">
        <w:rPr>
          <w:rFonts w:asciiTheme="majorBidi" w:hAnsiTheme="majorBidi" w:cstheme="majorBidi"/>
        </w:rPr>
        <w:fldChar w:fldCharType="end"/>
      </w:r>
    </w:p>
  </w:footnote>
  <w:footnote w:id="32">
    <w:p w14:paraId="055DF895" w14:textId="433F62D8"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{"citationID":"GrR8XfaH","properties":{"formattedCitation":"Rehman, A., Awais, M., &amp; Baloch, N.U.-A. (2016). Precision Medicine and Low- to Middle-Income Countries. {\\i{}JAMA Oncology}. {\\i{}2}(3), 293. https://doi.org/10.1001/jamaoncol.2015.5511Plas\\uc0\\u232{}ncia, A. (2013). Global health challenges and personalised medicine. {\\i{}Contributions to Science}. (8), 175\\uc0\\u8211{}180. https://doi.org/10.2436/20.7010.01.153","plainCitation":"Rehman, A., Awais, M., &amp; Baloch, N.U.-A. (2016). Precision Medicine and Low- to Middle-Income Countries. JAMA Oncology. 2(3), 293. https://doi.org/10.1001/jamaoncol.2015.5511Plasència, A. (2013). Global health challenges and personalised medicine. Contributions to Science. (8), 175–180. https://doi.org/10.2436/20.7010.01.153","dontUpdate":true,"noteIndex":31},"citationItems":[{"id":1539,"uris":["http://zotero.org/users/1170976/items/JBKXQNV2"],"uri":["http://zotero.org/users/1170976/items/JBKXQNV2"],"itemData":{"id":1539,"type":"article-journal","container-title":"JAMA Oncology","DOI":"10.1001/jamaoncol.2015.5511","ISSN":"2374-2437","issue":"3","language":"en","page":"293","source":"Crossref","title":"Precision Medicine and Low- to Middle-Income Countries","volume":"2","author":[{"family":"Rehman","given":"Abdul"},{"family":"Awais","given":"Muhammad"},{"family":"Baloch","given":"Noor Ul-Ain"}],"issued":{"date-parts":[["2016",3,1]]}}},{"id":1533,"uris":["http://zotero.org/users/1170976/items/HVIVTVJ6"],"uri":["http://zotero.org/users/1170976/items/HVIVTVJ6"],"itemData":{"id":1533,"type":"article-journal","container-title":"Contributions to Science","DOI":"10.2436/20.7010.01.153","ISSN":"2013-410X","issue":"8","language":"eng","page":"175–180","source":"mEDRA","title":"Global health challenges and personalised medicine","author":[{"family":"Plasència","given":"Antoni"}],"issued":{"date-parts":[["2013"]]}}}],"schema":"https://github.com/citation-style-language/schema/raw/master/csl-citation.json"}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Rehman, A., Awais, M., &amp; Baloch, N.U.-A. (2016). Precision Medicine and Low- to Middle-Income Countries. </w:t>
      </w:r>
      <w:r w:rsidRPr="00CB0133">
        <w:rPr>
          <w:rFonts w:asciiTheme="majorBidi" w:hAnsiTheme="majorBidi" w:cstheme="majorBidi"/>
          <w:i/>
          <w:iCs/>
        </w:rPr>
        <w:t>JAMA Oncology</w:t>
      </w:r>
      <w:r w:rsidRPr="00CB0133">
        <w:rPr>
          <w:rFonts w:asciiTheme="majorBidi" w:hAnsiTheme="majorBidi" w:cstheme="majorBidi"/>
        </w:rPr>
        <w:t xml:space="preserve">. </w:t>
      </w:r>
      <w:r w:rsidRPr="00CB0133">
        <w:rPr>
          <w:rFonts w:asciiTheme="majorBidi" w:hAnsiTheme="majorBidi" w:cstheme="majorBidi"/>
          <w:i/>
          <w:iCs/>
        </w:rPr>
        <w:t>2</w:t>
      </w:r>
      <w:r w:rsidRPr="00CB0133">
        <w:rPr>
          <w:rFonts w:asciiTheme="majorBidi" w:hAnsiTheme="majorBidi" w:cstheme="majorBidi"/>
        </w:rPr>
        <w:t>(3), 293. https://doi.org/10.1001/jamaoncol.2015.5511</w:t>
      </w:r>
      <w:r w:rsidR="0061167D" w:rsidRPr="00CB0133">
        <w:rPr>
          <w:rFonts w:asciiTheme="majorBidi" w:hAnsiTheme="majorBidi" w:cstheme="majorBidi"/>
        </w:rPr>
        <w:t xml:space="preserve">; </w:t>
      </w:r>
      <w:r w:rsidRPr="00CB0133">
        <w:rPr>
          <w:rFonts w:asciiTheme="majorBidi" w:hAnsiTheme="majorBidi" w:cstheme="majorBidi"/>
        </w:rPr>
        <w:t xml:space="preserve">Plasència, A. (2013). Global health challenges and personalised medicine. </w:t>
      </w:r>
      <w:r w:rsidRPr="00CB0133">
        <w:rPr>
          <w:rFonts w:asciiTheme="majorBidi" w:hAnsiTheme="majorBidi" w:cstheme="majorBidi"/>
          <w:i/>
          <w:iCs/>
        </w:rPr>
        <w:t>Contributions to Science</w:t>
      </w:r>
      <w:r w:rsidRPr="00CB0133">
        <w:rPr>
          <w:rFonts w:asciiTheme="majorBidi" w:hAnsiTheme="majorBidi" w:cstheme="majorBidi"/>
        </w:rPr>
        <w:t>. (8), 175–180. https://doi.org/10.2436/20.7010.01.153</w:t>
      </w:r>
      <w:r w:rsidRPr="00CB0133">
        <w:rPr>
          <w:rFonts w:asciiTheme="majorBidi" w:hAnsiTheme="majorBidi" w:cstheme="majorBidi"/>
        </w:rPr>
        <w:fldChar w:fldCharType="end"/>
      </w:r>
    </w:p>
  </w:footnote>
  <w:footnote w:id="33">
    <w:p w14:paraId="07162115" w14:textId="0D394F57"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{"citationID":"hPXCQGl2","properties":{"formattedCitation":"Landry, L.G., Ali, N., Williams, D.R., Rehm, H.L., &amp; Bonham, V.L. (2018). Lack Of Diversity In Genomic Databases Is A Barrier To Translating Precision Medicine Research Into Practice. {\\i{}Health Affairs}. {\\i{}37}(5), 780\\uc0\\u8211{}785. https://doi.org/10.1377/hlthaff.2017.1595","plainCitation":"Landry, L.G., Ali, N., Williams, D.R., Rehm, H.L., &amp; Bonham, V.L. (2018). Lack Of Diversity In Genomic Databases Is A Barrier To Translating Precision Medicine Research Into Practice. Health Affairs. 37(5), 780–785. https://doi.org/10.1377/hlthaff.2017.1595","noteIndex":32},"citationItems":[{"id":1531,"uris":["http://zotero.org/users/1170976/items/CPFCH8FW"],"uri":["http://zotero.org/users/1170976/items/CPFCH8FW"],"itemData":{"id":1531,"type":"article-journal","container-title":"Health Affairs","DOI":"10.1377/hlthaff.2017.1595","ISSN":"0278-2715, 1544-5208","issue":"5","language":"en","page":"780-785","source":"Crossref","title":"Lack Of Diversity In Genomic Databases Is A Barrier To Translating Precision Medicine Research Into Practice","volume":"37","author":[{"family":"Landry","given":"Latrice G."},{"family":"Ali","given":"Nadya"},{"family":"Williams","given":"David R."},{"family":"Rehm","given":"Heidi L."},{"family":"Bonham","given":"Vence L."}],"issued":{"date-parts":[["2018",5]]}}}],"schema":"https://github.com/citation-style-language/schema/raw/master/csl-citation.json"}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Landry, L.G., Ali, N., Williams, D.R., Rehm, H.L., &amp; Bonham, V.L. (2018). Lack Of Diversity In Genomic Databases Is A Barrier To Translating Precision Medicine Research Into Practice. </w:t>
      </w:r>
      <w:r w:rsidRPr="00CB0133">
        <w:rPr>
          <w:rFonts w:asciiTheme="majorBidi" w:hAnsiTheme="majorBidi" w:cstheme="majorBidi"/>
          <w:i/>
          <w:iCs/>
        </w:rPr>
        <w:t>Health Affairs</w:t>
      </w:r>
      <w:r w:rsidRPr="00CB0133">
        <w:rPr>
          <w:rFonts w:asciiTheme="majorBidi" w:hAnsiTheme="majorBidi" w:cstheme="majorBidi"/>
        </w:rPr>
        <w:t xml:space="preserve">. </w:t>
      </w:r>
      <w:r w:rsidRPr="00CB0133">
        <w:rPr>
          <w:rFonts w:asciiTheme="majorBidi" w:hAnsiTheme="majorBidi" w:cstheme="majorBidi"/>
          <w:i/>
          <w:iCs/>
        </w:rPr>
        <w:t>37</w:t>
      </w:r>
      <w:r w:rsidRPr="00CB0133">
        <w:rPr>
          <w:rFonts w:asciiTheme="majorBidi" w:hAnsiTheme="majorBidi" w:cstheme="majorBidi"/>
        </w:rPr>
        <w:t>(5), 780–785. https://doi.org/10.1377/hlthaff.2017.1595</w:t>
      </w:r>
      <w:r w:rsidRPr="00CB0133">
        <w:rPr>
          <w:rFonts w:asciiTheme="majorBidi" w:hAnsiTheme="majorBidi" w:cstheme="majorBidi"/>
        </w:rPr>
        <w:fldChar w:fldCharType="end"/>
      </w:r>
    </w:p>
  </w:footnote>
  <w:footnote w:id="34">
    <w:p w14:paraId="40529E17" w14:textId="6370D239" w:rsidR="00463DA8" w:rsidRPr="00CB0133" w:rsidRDefault="00463DA8">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{"citationID":"T41Sexbt","properties":{"formattedCitation":"Wu, D., Dou, J., Chai, X., Bellis, C., Wilm, A., Shih, C.C., \\uc0\\u8230{} Zhao, Y. (2019). Large-Scale Whole-Genome Sequencing of Three Diverse Asian Populations in Singapore. {\\i{}Cell}. {\\i{}179}(3), 736-749.e15. https://doi.org/10.1016/j.cell.2019.09.019","plainCitation":"Wu, D., Dou, J., Chai, X., Bellis, C., Wilm, A., Shih, C.C., … Zhao, Y. (2019). Large-Scale Whole-Genome Sequencing of Three Diverse Asian Populations in Singapore. Cell. 179(3), 736-749.e15. https://doi.org/10.1016/j.cell.2019.09.019","noteIndex":33},"citationItems":[{"id":1761,"uris":["http://zotero.org/users/1170976/items/N2LJ2FGC"],"uri":["http://zotero.org/users/1170976/items/N2LJ2FGC"],"itemData":{"id":1761,"type":"article-journal","container-title":"Cell","DOI":"10.1016/j.cell.2019.09.019","ISSN":"00928674","issue":"3","language":"en","page":"736-749.e15","source":"Crossref","title":"Large-Scale Whole-Genome Sequencing of Three Diverse Asian Populations in Singapore","volume":"179","author":[{"family":"Wu","given":"Degang"},{"family":"Dou","given":"Jinzhuang"},{"family":"Chai","given":"Xiaoran"},{"family":"Bellis","given":"Claire"},{"family":"Wilm","given":"Andreas"},{"family":"Shih","given":"Chih Chuan"},{"family":"Soon","given":"Wendy Wei Jia"},{"family":"Bertin","given":"Nicolas"},{"family":"Lin","given":"Clarabelle Bitong"},{"family":"Khor","given":"Chiea Chuen"},{"family":"DeGiorgio","given":"Michael"},{"family":"Cheng","given":"Shanshan"},{"family":"Bao","given":"Li"},{"family":"Karnani","given":"Neerja"},{"family":"Hwang","given":"William Ying Khee"},{"family":"Davila","given":"Sonia"},{"family":"Tan","given":"Patrick"},{"family":"Shabbir","given":"Asim"},{"family":"Moh","given":"Angela"},{"family":"Tan","given":"Eng-King"},{"family":"Foo","given":"Jia Nee"},{"family":"Goh","given":"Liuh Ling"},{"family":"Leong","given":"Khai Pang"},{"family":"Foo","given":"Roger S.Y."},{"family":"Lam","given":"Carolyn Su Ping"},{"family":"Richards","given":"Arthur Mark"},{"family":"Cheng","given":"Ching-Yu"},{"family":"Aung","given":"Tin"},{"family":"Wong","given":"Tien Yin"},{"family":"Ng","given":"Huck Hui"},{"family":"Liu","given":"Jianjun"},{"family":"Wang","given":"Chaolong"},{"family":"Ackers-Johnson","given":"Matthew Andrew"},{"family":"Aliwarga","given":"Edita"},{"family":"Ban","given":"Kenneth Hon Kim"},{"family":"Bertrand","given":"Denis"},{"family":"Chambers","given":"John C."},{"family":"Chan","given":"Dana Leng Hui"},{"family":"Chan","given":"Cheryl Xue Li"},{"family":"Chee","given":"Miao Li"},{"family":"Chee","given":"Miao Ling"},{"family":"Chen","given":"Pauline"},{"family":"Chen","given":"Yunxin"},{"family":"Chew","given":"Elaine Guo Yan"},{"family":"Chew","given":"Wen Jie"},{"family":"Chiam","given":"Lynn Hui Yun"},{"family":"Chong","given":"Jenny Pek Ching"},{"family":"Chua","given":"Ivan"},{"family":"Cook","given":"Stuart A."},{"family":"Dai","given":"Wei"},{"family":"Dorajoo","given":"Rajkumar"},{"family":"Foo","given":"Chuan-Sheng"},{"family":"Goh","given":"Rick Siow Mong"},{"family":"Hillmer","given":"Axel M."},{"family":"Irwan","given":"Ishak D."},{"family":"Jaufeerally","given":"Fazlur"},{"family":"Javed","given":"Asif"},{"family":"Jeyakani","given":"Justin"},{"family":"Koh","given":"John Tat Hung"},{"family":"Koh","given":"Jia Yu"},{"family":"Krishnaswamy","given":"Pavitra"},{"family":"Kuan","given":"Jyn Ling"},{"family":"Kumari","given":"Neelam"},{"family":"Lee","given":"Ai Shan"},{"family":"Lee","given":"Seow Eng"},{"family":"Lee","given":"Sheldon"},{"family":"Lee","given":"Yen Ling"},{"family":"Leong","given":"See Ting"},{"family":"Li","given":"Zheng"},{"family":"Li","given":"Peter Yiqing"},{"family":"Liew","given":"Jun Xian"},{"family":"Liew","given":"Oi Wah"},{"family":"Lim","given":"Su Chi"},{"family":"Lim","given":"Weng Khong"},{"family":"Lim","given":"Chia Wei"},{"family":"Lim","given":"Tingsen Benson"},{"family":"Lim","given":"Choon Kiat"},{"family":"Loh","given":"Seet Yoong"},{"family":"Lok","given":"Au Wing"},{"family":"Chin","given":"Calvin W.L."},{"family":"Majithia","given":"Shivani"},{"family":"Maurer-Stroh","given":"Sebastian"},{"family":"Meah","given":"Wee Yang"},{"family":"Mok","given":"Shi Qi"},{"family":"Nargarajan","given":"Niranjan"},{"family":"Ng","given":"Pauline"},{"family":"Ng","given":"Sarah B."},{"family":"Ng","given":"Zhenyuan"},{"family":"Ng","given":"Jessica Yan Xia"},{"family":"Ng","given":"Ebonne"},{"family":"Ng","given":"Shi Ling"},{"family":"Nusinovici","given":"Simon"},{"family":"Ong","given":"Chin Thing"},{"family":"Pan","given":"Bangfen"},{"family":"Pedergnana","given":"Vincent"},{"family":"Poh","given":"Stanley"},{"family":"Prabhakar","given":"Shyam"},{"family":"Prakash","given":"Kumar M."},{"family":"Quek","given":"Ivy"},{"family":"Sabanayagam","given":"Charumathi"},{"family":"See","given":"Wei Qiang"},{"family":"Sia","given":"Yee Yen"},{"family":"Sim","given":"Xueling"},{"family":"Sim","given":"Wey Cheng"},{"family":"So","given":"Jimmy"},{"family":"Soon","given":"Dinna K.N."},{"family":"Tai","given":"E. Shyong"},{"family":"Tan","given":"Nicholas Y."},{"family":"Tan","given":"Louis C.S."},{"family":"Tan","given":"Hong Chang"},{"family":"Tan","given":"Wilson Lek Wen"},{"family":"Tandiono","given":"Moses"},{"family":"Tay","given":"Amanda"},{"family":"Thakur","given":"Sahil"},{"family":"Tham","given":"Yih Chung"},{"family":"Tiang","given":"Zenia"},{"family":"Toh","given":"Grace Li-Xian"},{"family":"Tsai","given":"Pi Kuang"},{"family":"Veeravalli","given":"Lavanya"},{"family":"Verma","given":"Chandra S."},{"family":"Wang","given":"Ling"},{"family":"Wang","given":"Min Rui"},{"family":"Wong","given":"Wing-Cheong"},{"family":"Xie","given":"Zhicheng"},{"family":"Yeo","given":"Khung Keong"},{"family":"Zhang","given":"Liang"},{"family":"Zhai","given":"Weiwei"},{"family":"Zhao","given":"Yi"}],"issued":{"date-parts":[["2019",10]]}}}],"schema":"https://github.com/citation-style-language/schema/raw/master/csl-citation.json"}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Wu, D., Dou, J., Chai, X., Bellis, C., Wilm, A., Shih, C.C., … Zhao, Y. (2019). Large-Scale Whole-Genome Sequencing of Three Diverse Asian Populations in Singapore. </w:t>
      </w:r>
      <w:r w:rsidRPr="00CB0133">
        <w:rPr>
          <w:rFonts w:asciiTheme="majorBidi" w:hAnsiTheme="majorBidi" w:cstheme="majorBidi"/>
          <w:i/>
          <w:iCs/>
        </w:rPr>
        <w:t>Cell</w:t>
      </w:r>
      <w:r w:rsidRPr="00CB0133">
        <w:rPr>
          <w:rFonts w:asciiTheme="majorBidi" w:hAnsiTheme="majorBidi" w:cstheme="majorBidi"/>
        </w:rPr>
        <w:t xml:space="preserve">. </w:t>
      </w:r>
      <w:r w:rsidRPr="00CB0133">
        <w:rPr>
          <w:rFonts w:asciiTheme="majorBidi" w:hAnsiTheme="majorBidi" w:cstheme="majorBidi"/>
          <w:i/>
          <w:iCs/>
        </w:rPr>
        <w:t>179</w:t>
      </w:r>
      <w:r w:rsidRPr="00CB0133">
        <w:rPr>
          <w:rFonts w:asciiTheme="majorBidi" w:hAnsiTheme="majorBidi" w:cstheme="majorBidi"/>
        </w:rPr>
        <w:t>(3), 736-749.e15. https://doi.org/10.1016/j.cell.2019.09.019</w:t>
      </w:r>
      <w:r w:rsidRPr="00CB0133">
        <w:rPr>
          <w:rFonts w:asciiTheme="majorBidi" w:hAnsiTheme="majorBidi" w:cstheme="majorBidi"/>
        </w:rPr>
        <w:fldChar w:fldCharType="end"/>
      </w:r>
    </w:p>
  </w:footnote>
  <w:footnote w:id="35">
    <w:p w14:paraId="1B524A31" w14:textId="3046E9CC" w:rsidR="00463DA8" w:rsidRPr="00CB0133" w:rsidRDefault="00463DA8">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{"citationID":"BzLRNjtH","properties":{"formattedCitation":"Bentley, A.R., Callier, S., &amp; Rotimi, C.N. (2017). Diversity and inclusion in genomic research: why the uneven progress? {\\i{}Journal of Community Genetics}. {\\i{}8}(4), 255\\uc0\\u8211{}266. https://doi.org/10.1007/s12687-017-0316-6","plainCitation":"Bentley, A.R., Callier, S., &amp; Rotimi, C.N. (2017). Diversity and inclusion in genomic research: why the uneven progress? Journal of Community Genetics. 8(4), 255–266. https://doi.org/10.1007/s12687-017-0316-6","noteIndex":34},"citationItems":[{"id":1620,"uris":["http://zotero.org/users/1170976/items/DNZHS2RI"],"uri":["http://zotero.org/users/1170976/items/DNZHS2RI"],"itemData":{"id":1620,"type":"article-journal","container-title":"Journal of Community Genetics","DOI":"10.1007/s12687-017-0316-6","ISSN":"1868-310X, 1868-6001","issue":"4","language":"en","page":"255-266","source":"Crossref","title":"Diversity and inclusion in genomic research: why the uneven progress?","title-short":"Diversity and inclusion in genomic research","volume":"8","author":[{"family":"Bentley","given":"Amy R."},{"family":"Callier","given":"Shawneequa"},{"family":"Rotimi","given":"Charles N."}],"issued":{"date-parts":[["2017",10]]}}}],"schema":"https://github.com/citation-style-language/schema/raw/master/csl-citation.json"}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Bentley, A.R., Callier, S., &amp; Rotimi, C.N. (2017). Diversity and inclusion in genomic research: why the uneven progress? </w:t>
      </w:r>
      <w:r w:rsidRPr="00CB0133">
        <w:rPr>
          <w:rFonts w:asciiTheme="majorBidi" w:hAnsiTheme="majorBidi" w:cstheme="majorBidi"/>
          <w:i/>
          <w:iCs/>
        </w:rPr>
        <w:t>Journal of Community Genetics</w:t>
      </w:r>
      <w:r w:rsidRPr="00CB0133">
        <w:rPr>
          <w:rFonts w:asciiTheme="majorBidi" w:hAnsiTheme="majorBidi" w:cstheme="majorBidi"/>
        </w:rPr>
        <w:t xml:space="preserve">. </w:t>
      </w:r>
      <w:r w:rsidRPr="00CB0133">
        <w:rPr>
          <w:rFonts w:asciiTheme="majorBidi" w:hAnsiTheme="majorBidi" w:cstheme="majorBidi"/>
          <w:i/>
          <w:iCs/>
        </w:rPr>
        <w:t>8</w:t>
      </w:r>
      <w:r w:rsidRPr="00CB0133">
        <w:rPr>
          <w:rFonts w:asciiTheme="majorBidi" w:hAnsiTheme="majorBidi" w:cstheme="majorBidi"/>
        </w:rPr>
        <w:t>(4), 255–266. https://doi.org/10.1007/s12687-017-0316-6</w:t>
      </w:r>
      <w:r w:rsidRPr="00CB0133">
        <w:rPr>
          <w:rFonts w:asciiTheme="majorBidi" w:hAnsiTheme="majorBidi" w:cstheme="majorBidi"/>
        </w:rPr>
        <w:fldChar w:fldCharType="end"/>
      </w:r>
    </w:p>
  </w:footnote>
  <w:footnote w:id="36">
    <w:p w14:paraId="2D1462E3" w14:textId="3AE0918A"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{"citationID":"Xyj4GTgo","properties":{"formattedCitation":"Cho (op. cit. n. 13) : 497\\uc0\\u8211{}499, 479","plainCitation":"Cho (op. cit. n. 13) : 497–499, 479","noteIndex":35},"citationItems":[{"id":1523,"uris":["http://zotero.org/users/1170976/items/5CCGFVWM"],"uri":["http://zotero.org/users/1170976/items/5CCGFVWM"],"itemData":{"id":1523,"type":"article-journal","abstract":"The use of racial categories in biomedicine has had a long history in the United States. However, social hierarchy and discrimination, justified by purported scientific differences, has also plagued the history of racial categories. Because \"race\" has some correlation with biological and genetic characteristics, there has been a call not to \"throw the baby out with the bathwater\" by eliminating race as a research or clinical category. I argue that race is too undefined and fluid to be useful as a proxy for biology or genetics.","container-title":"The Journal of Law, Medicine &amp; Ethics: A Journal of the American Society of Law, Medicine &amp; Ethics","ISSN":"1073-1105","issue":"3","journalAbbreviation":"J Law Med Ethics","language":"eng","note":"PMID: 17144171\nPMCID: PMC2271137","page":"497-499, 479","source":"PubMed","title":"Racial and ethnic categories in biomedical research: there is no baby in the bathwater","title-short":"Racial and ethnic categories in biomedical research","volume":"34","author":[{"family":"Cho","given":"Mildred K."}],"issued":{"date-parts":[["2006"]]}}}],"schema":"https://github.com/citation-style-language/schema/raw/master/csl-citation.json"} </w:instrText>
      </w:r>
      <w:r w:rsidRPr="00CB0133">
        <w:rPr>
          <w:rFonts w:asciiTheme="majorBidi" w:hAnsiTheme="majorBidi" w:cstheme="majorBidi"/>
        </w:rPr>
        <w:fldChar w:fldCharType="separate"/>
      </w:r>
      <w:r w:rsidR="00CA2D8C" w:rsidRPr="00E1494A">
        <w:rPr>
          <w:rFonts w:ascii="Times New Roman" w:hAnsi="Times New Roman" w:cs="Times New Roman"/>
          <w:szCs w:val="24"/>
        </w:rPr>
        <w:t>Cho (op. cit. n. 13) : 497–499, 479</w:t>
      </w:r>
      <w:r w:rsidRPr="00CB0133">
        <w:rPr>
          <w:rFonts w:asciiTheme="majorBidi" w:hAnsiTheme="majorBidi" w:cstheme="majorBidi"/>
        </w:rPr>
        <w:fldChar w:fldCharType="end"/>
      </w:r>
    </w:p>
  </w:footnote>
  <w:footnote w:id="37">
    <w:p w14:paraId="7EB0B8D5" w14:textId="3EEF9D6D"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0C4A6A">
        <w:rPr>
          <w:rFonts w:asciiTheme="majorBidi" w:hAnsiTheme="majorBidi" w:cstheme="majorBidi"/>
        </w:rPr>
        <w:instrText xml:space="preserve"> ADDIN ZOTERO_ITEM CSL_CITATION {"citationID":"MFuVSUp6","properties":{"formattedCitation":"Rosenberg (op. cit. n. 16) : 2381\\uc0\\u8211{}2385","plainCitation":"Rosenberg (op. cit. n. 16) : 2381–2385","noteIndex":37},"citationItems":[{"id":1540,"uris":["http://zotero.org/users/1170976/items/IK723A2J"],"uri":["http://zotero.org/users/1170976/items/IK723A2J"],"itemData":{"id":1540,"type":"article-journal","container-title":"Science","DOI":"10.1126/science.1078311","ISSN":"00368075, 10959203","issue":"5602","page":"2381-2385","source":"Crossref","title":"Genetic Structure of Human Populations","volume":"298","author":[{"family":"Rosenberg","given":"N. A."}],"issued":{"date-parts":[["2002",12,20]]}}}],"schema":"https://github.com/citation-style-language/schema/raw/master/csl-citation.json"} </w:instrText>
      </w:r>
      <w:r w:rsidRPr="00CB0133">
        <w:rPr>
          <w:rFonts w:asciiTheme="majorBidi" w:hAnsiTheme="majorBidi" w:cstheme="majorBidi"/>
        </w:rPr>
        <w:fldChar w:fldCharType="separate"/>
      </w:r>
      <w:r w:rsidR="000C4A6A" w:rsidRPr="00E1494A">
        <w:rPr>
          <w:rFonts w:ascii="Times New Roman" w:hAnsi="Times New Roman" w:cs="Times New Roman"/>
          <w:szCs w:val="24"/>
        </w:rPr>
        <w:t>Rosenberg (op. cit. n. 16) : 2381–2385</w:t>
      </w:r>
      <w:r w:rsidRPr="00CB0133">
        <w:rPr>
          <w:rFonts w:asciiTheme="majorBidi" w:hAnsiTheme="majorBidi" w:cstheme="majorBidi"/>
        </w:rPr>
        <w:fldChar w:fldCharType="end"/>
      </w:r>
    </w:p>
  </w:footnote>
  <w:footnote w:id="38">
    <w:p w14:paraId="03197791" w14:textId="7D25F6FB"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{"citationID":"PRoN2EGV","properties":{"formattedCitation":"Dworkin, R. (1984). Rights as Trumps. In J. Waldron (Ed.). Oxford: Oxford University Press.","plainCitation":"Dworkin, R. (1984). Rights as Trumps. In J. Waldron (Ed.). Oxford: Oxford University Press.","noteIndex":37},"citationItems":[{"id":1546,"uris":["http://zotero.org/users/1170976/items/A3R3KATP"],"uri":["http://zotero.org/users/1170976/items/A3R3KATP"],"itemData":{"id":1546,"type":"chapter","abstract":"Theories of Rights","event-place":"Oxford","publisher":"Oxford University Press","publisher-place":"Oxford","title":"Rights as Trumps","author":[{"family":"Dworkin","given":"Ronald"}],"editor":[{"family":"Waldron","given":"Jeremy"}],"issued":{"date-parts":[["1984"]]}}}],"schema":"https://github.com/citation-style-language/schema/raw/master/csl-citation.json"}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Dworkin, R. (1984). Rights as Trumps. In J. Waldron (Ed.). Oxford: Oxford University Press.</w:t>
      </w:r>
      <w:r w:rsidRPr="00CB0133">
        <w:rPr>
          <w:rFonts w:asciiTheme="majorBidi" w:hAnsiTheme="majorBidi" w:cstheme="majorBidi"/>
        </w:rPr>
        <w:fldChar w:fldCharType="end"/>
      </w:r>
    </w:p>
  </w:footnote>
  <w:footnote w:id="39">
    <w:p w14:paraId="79FE19FD" w14:textId="3CAEDC1A"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{"citationID":"3fzAcVVN","properties":{"formattedCitation":"UN General Assembly. (1948). Universal Declaration of Human Rights. Retrieved from http://www.un.org/en/universal-declaration-human-rights/","plainCitation":"UN General Assembly. (1948). Universal Declaration of Human Rights. Retrieved from http://www.un.org/en/universal-declaration-human-rights/","noteIndex":38},"citationItems":[{"id":1547,"uris":["http://zotero.org/users/1170976/items/QDVBCPRV"],"uri":["http://zotero.org/users/1170976/items/QDVBCPRV"],"itemData":{"id":1547,"type":"article","title":"Universal Declaration of Human Rights","URL":"http://www.un.org/en/universal-declaration-human-rights/","author":[{"family":"UN General Assembly","given":""}],"issued":{"date-parts":[["1948"]]}}}],"schema":"https://github.com/citation-style-language/schema/raw/master/csl-citation.json"}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UN General Assembly. (1948). Universal Declaration of Human Rights. Retrieved from http://www.un.org/en/universal-declaration-human-rights/</w:t>
      </w:r>
      <w:r w:rsidRPr="00CB0133">
        <w:rPr>
          <w:rFonts w:asciiTheme="majorBidi" w:hAnsiTheme="majorBidi" w:cstheme="majorBidi"/>
        </w:rPr>
        <w:fldChar w:fldCharType="end"/>
      </w:r>
    </w:p>
  </w:footnote>
  <w:footnote w:id="40">
    <w:p w14:paraId="183F5A85" w14:textId="0C7D1655"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{"citationID":"uaJBddpN","properties":{"formattedCitation":"UN General Assembly. (1966). International Covenant on Economic, Social and Cultural Rights. United Nations, Treaty Series, vol. 993.","plainCitation":"UN General Assembly. (1966). International Covenant on Economic, Social and Cultural Rights. United Nations, Treaty Series, vol. 993.","noteIndex":39},"citationItems":[{"id":1548,"uris":["http://zotero.org/users/1170976/items/S535AJTD"],"uri":["http://zotero.org/users/1170976/items/S535AJTD"],"itemData":{"id":1548,"type":"article","publisher":"United Nations, Treaty Series, vol. 993","title":"International Covenant on Economic, Social and Cultural Rights","author":[{"family":"UN General Assembly","given":""}],"issued":{"date-parts":[["1966"]]}}}],"schema":"https://github.com/citation-style-language/schema/raw/master/csl-citation.json"}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UN General Assembly. (1966). International Covenant on Economic, Social and Cultural Rights. United Nations, Treaty Series, vol. 993.</w:t>
      </w:r>
      <w:r w:rsidRPr="00CB0133">
        <w:rPr>
          <w:rFonts w:asciiTheme="majorBidi" w:hAnsiTheme="majorBidi" w:cstheme="majorBidi"/>
        </w:rPr>
        <w:fldChar w:fldCharType="end"/>
      </w:r>
    </w:p>
  </w:footnote>
  <w:footnote w:id="41">
    <w:p w14:paraId="31FB07BE" w14:textId="2587090B"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{"citationID":"G69v7wHC","properties":{"formattedCitation":"United Nations Educational, Scientific and Cultural Organisation. (1947). The Grounds of an International Declaration of Human Rights. Phil./10.","plainCitation":"United Nations Educational, Scientific and Cultural Organisation. (1947). The Grounds of an International Declaration of Human Rights. Phil./10.","noteIndex":40},"citationItems":[{"id":1549,"uris":["http://zotero.org/users/1170976/items/MQI23ZK7"],"uri":["http://zotero.org/users/1170976/items/MQI23ZK7"],"itemData":{"id":1549,"type":"article","publisher":"Phil./10","title":"The Grounds of an International Declaration of Human Rights","author":[{"family":"United Nations Educational, Scientific and Cultural Organisation","given":""}],"issued":{"date-parts":[["1947"]]}}}],"schema":"https://github.com/citation-style-language/schema/raw/master/csl-citation.json"}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United Nations Educational, Scientific and Cultural Organisation. (1947). The Grounds of an International Declaration of Human Rights. Phil./10.</w:t>
      </w:r>
      <w:r w:rsidRPr="00CB0133">
        <w:rPr>
          <w:rFonts w:asciiTheme="majorBidi" w:hAnsiTheme="majorBidi" w:cstheme="majorBidi"/>
        </w:rPr>
        <w:fldChar w:fldCharType="end"/>
      </w:r>
    </w:p>
  </w:footnote>
  <w:footnote w:id="42">
    <w:p w14:paraId="618F2FED" w14:textId="36125C87"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{"citationID":"kJprFJ3Y","properties":{"formattedCitation":"United Nations Educational, Scientific and Cultural Organization. (2009). The Right to Enjoy the Benefits of Scientific Progress and its Applications. UNESCO.","plainCitation":"United Nations Educational, Scientific and Cultural Organization. (2009). The Right to Enjoy the Benefits of Scientific Progress and its Applications. UNESCO.","noteIndex":41},"citationItems":[{"id":1550,"uris":["http://zotero.org/users/1170976/items/KBZRB7E9"],"uri":["http://zotero.org/users/1170976/items/KBZRB7E9"],"itemData":{"id":1550,"type":"article","publisher":"UNESCO","title":"The Right to Enjoy the Benefits of Scientific Progress and its Applications","author":[{"family":"United Nations Educational, Scientific and Cultural Organization","given":""}],"issued":{"date-parts":[["2009"]]}}}],"schema":"https://github.com/citation-style-language/schema/raw/master/csl-citation.json"}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United Nations Educational, Scientific and Cultural Organization. (2009). The Right to Enjoy the Benefits of Scientific Progress and its Applications. UNESCO.</w:t>
      </w:r>
      <w:r w:rsidRPr="00CB0133">
        <w:rPr>
          <w:rFonts w:asciiTheme="majorBidi" w:hAnsiTheme="majorBidi" w:cstheme="majorBidi"/>
        </w:rPr>
        <w:fldChar w:fldCharType="end"/>
      </w:r>
    </w:p>
  </w:footnote>
  <w:footnote w:id="43">
    <w:p w14:paraId="78E80039" w14:textId="6143322C"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{"citationID":"heYGEwPj","properties":{"formattedCitation":"Global Alliance for Genomics and Health. (2014). Framework for Responsible Sharing of Genomic and Health-Related Data. GA4GH. Retrieved from https://www.ga4gh.org/wp-content/uploads/Framework-Version-10September2014.pdf","plainCitation":"Global Alliance for Genomics and Health. (2014). Framework for Responsible Sharing of Genomic and Health-Related Data. GA4GH. Retrieved from https://www.ga4gh.org/wp-content/uploads/Framework-Version-10September2014.pdf","noteIndex":42},"citationItems":[{"id":1557,"uris":["http://zotero.org/users/1170976/items/W995DM6D"],"uri":["http://zotero.org/users/1170976/items/W995DM6D"],"itemData":{"id":1557,"type":"article","publisher":"GA4GH","title":"Framework for Responsible Sharing of Genomic and Health-Related Data","URL":"https://www.ga4gh.org/wp-content/uploads/Framework-Version-10September2014.pdf","author":[{"family":"Global Alliance for Genomics and Health","given":""}],"accessed":{"date-parts":[["2019",3,21]]},"issued":{"date-parts":[["2014"]]}}}],"schema":"https://github.com/citation-style-language/schema/raw/master/csl-citation.json"}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Global Alliance for Genomics and Health. (2014). Framework for Responsible Sharing of Genomic and Health-Related Data. GA4GH. Retrieved from https://www.ga4gh.org/wp-content/uploads/Framework-Version-10September2014.pdf</w:t>
      </w:r>
      <w:r w:rsidRPr="00CB0133">
        <w:rPr>
          <w:rFonts w:asciiTheme="majorBidi" w:hAnsiTheme="majorBidi" w:cstheme="majorBidi"/>
        </w:rPr>
        <w:fldChar w:fldCharType="end"/>
      </w:r>
    </w:p>
  </w:footnote>
  <w:footnote w:id="44">
    <w:p w14:paraId="4892A0B8" w14:textId="394F543E"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{"citationID":"vHWWUZ38","properties":{"formattedCitation":"Knoppers, Harris, Budin-Lj\\uc0\\u248{}sne, Dove (op. cit. n. 6) : 895\\uc0\\u8211{}903","plainCitation":"Knoppers, Harris, Budin-Ljøsne, Dove (op. cit. n. 6) : 895–903","noteIndex":43},"citationItems":[{"id":1515,"uris":["http://zotero.org/users/1170976/items/357EAXVN"],"uri":["http://zotero.org/users/1170976/items/357EAXVN"],"itemData":{"id":1515,"type":"article-journal","container-title":"Human Genetics","DOI":"10.1007/s00439-014-1432-6","ISSN":"0340-6717, 1432-1203","issue":"7","language":"en","page":"895-903","source":"Crossref","title":"A human rights approach to an international code of conduct for genomic and clinical data sharing","volume":"133","author":[{"family":"Knoppers","given":"Bartha M."},{"family":"Harris","given":"Jennifer R."},{"family":"Budin-Ljøsne","given":"Isabelle"},{"family":"Dove","given":"Edward S."}],"issued":{"date-parts":[["2014",7]]}}}],"schema":"https://github.com/citation-style-language/schema/raw/master/csl-citation.json"} </w:instrText>
      </w:r>
      <w:r w:rsidRPr="00CB0133">
        <w:rPr>
          <w:rFonts w:asciiTheme="majorBidi" w:hAnsiTheme="majorBidi" w:cstheme="majorBidi"/>
        </w:rPr>
        <w:fldChar w:fldCharType="separate"/>
      </w:r>
      <w:r w:rsidR="00CA2D8C" w:rsidRPr="00E1494A">
        <w:rPr>
          <w:rFonts w:ascii="Times New Roman" w:hAnsi="Times New Roman" w:cs="Times New Roman"/>
          <w:szCs w:val="24"/>
        </w:rPr>
        <w:t>Knoppers, Harris, Budin-Ljøsne, Dove (op. cit. n. 6) : 895–903</w:t>
      </w:r>
      <w:r w:rsidRPr="00CB0133">
        <w:rPr>
          <w:rFonts w:asciiTheme="majorBidi" w:hAnsiTheme="majorBidi" w:cstheme="majorBidi"/>
        </w:rPr>
        <w:fldChar w:fldCharType="end"/>
      </w:r>
      <w:r w:rsidRPr="00CB0133">
        <w:rPr>
          <w:rFonts w:asciiTheme="majorBidi" w:hAnsiTheme="majorBidi" w:cstheme="majorBidi"/>
        </w:rPr>
        <w:t xml:space="preserve"> See also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{"citationID":"QRCzqukt","properties":{"formattedCitation":"Knoppers, B.M., &amp; Thorogood, A.M. (2017). Ethics and Big Data in health. {\\i{}Current Opinion in Systems Biology}. {\\i{}4}, 53\\uc0\\u8211{}57. https://doi.org/10.1016/j.coisb.2017.07.001Harris, T.L., &amp; Wyndham, J.M. (2015). Data Rights and Responsibilities: A Human Rights Perspective on Data Sharing. {\\i{}Journal of Empirical Research on Human Research Ethics}. {\\i{}10}(3), 334\\uc0\\u8211{}337. https://doi.org/10.1177/1556264615591558","plainCitation":"Knoppers, B.M., &amp; Thorogood, A.M. (2017). Ethics and Big Data in health. Current Opinion in Systems Biology. 4, 53–57. https://doi.org/10.1016/j.coisb.2017.07.001Harris, T.L., &amp; Wyndham, J.M. (2015). Data Rights and Responsibilities: A Human Rights Perspective on Data Sharing. Journal of Empirical Research on Human Research Ethics. 10(3), 334–337. https://doi.org/10.1177/1556264615591558","dontUpdate":true,"noteIndex":43},"citationItems":[{"id":1552,"uris":["http://zotero.org/users/1170976/items/PZHSX8RG"],"uri":["http://zotero.org/users/1170976/items/PZHSX8RG"],"itemData":{"id":1552,"type":"article-journal","container-title":"Current Opinion in Systems Biology","DOI":"10.1016/j.coisb.2017.07.001","ISSN":"24523100","language":"en","page":"53-57","source":"Crossref","title":"Ethics and Big Data in health","volume":"4","author":[{"family":"Knoppers","given":"Bartha Maria"},{"family":"Thorogood","given":"Adrian Mark"}],"issued":{"date-parts":[["2017",8]]}}},{"id":1553,"uris":["http://zotero.org/users/1170976/items/I45PT5QI"],"uri":["http://zotero.org/users/1170976/items/I45PT5QI"],"itemData":{"id":1553,"type":"article-journal","container-title":"Journal of Empirical Research on Human Research Ethics","DOI":"10.1177/1556264615591558","ISSN":"1556-2646, 1556-2654","issue":"3","language":"en","page":"334-337","source":"Crossref","title":"Data Rights and Responsibilities: A Human Rights Perspective on Data Sharing","title-short":"Data Rights and Responsibilities","volume":"10","author":[{"family":"Harris","given":"Theresa L."},{"family":"Wyndham","given":"Jessica M."}],"issued":{"date-parts":[["2015",7]]}}}],"schema":"https://github.com/citation-style-language/schema/raw/master/csl-citation.json"}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Knoppers, B.M., &amp; Thorogood, A.M. (2017). Ethics and Big Data in health. </w:t>
      </w:r>
      <w:r w:rsidRPr="00CB0133">
        <w:rPr>
          <w:rFonts w:asciiTheme="majorBidi" w:hAnsiTheme="majorBidi" w:cstheme="majorBidi"/>
          <w:i/>
          <w:iCs/>
        </w:rPr>
        <w:t>Current Opinion in Systems Biology</w:t>
      </w:r>
      <w:r w:rsidRPr="00CB0133">
        <w:rPr>
          <w:rFonts w:asciiTheme="majorBidi" w:hAnsiTheme="majorBidi" w:cstheme="majorBidi"/>
        </w:rPr>
        <w:t xml:space="preserve">. </w:t>
      </w:r>
      <w:r w:rsidRPr="00CB0133">
        <w:rPr>
          <w:rFonts w:asciiTheme="majorBidi" w:hAnsiTheme="majorBidi" w:cstheme="majorBidi"/>
          <w:i/>
          <w:iCs/>
        </w:rPr>
        <w:t>4</w:t>
      </w:r>
      <w:r w:rsidRPr="00CB0133">
        <w:rPr>
          <w:rFonts w:asciiTheme="majorBidi" w:hAnsiTheme="majorBidi" w:cstheme="majorBidi"/>
        </w:rPr>
        <w:t>, 53–57. https://doi.org/10.1016/j.coisb.2017.07.001</w:t>
      </w:r>
      <w:r w:rsidR="0061167D" w:rsidRPr="00CB0133">
        <w:rPr>
          <w:rFonts w:asciiTheme="majorBidi" w:hAnsiTheme="majorBidi" w:cstheme="majorBidi"/>
        </w:rPr>
        <w:t xml:space="preserve">; </w:t>
      </w:r>
      <w:r w:rsidRPr="00CB0133">
        <w:rPr>
          <w:rFonts w:asciiTheme="majorBidi" w:hAnsiTheme="majorBidi" w:cstheme="majorBidi"/>
        </w:rPr>
        <w:t xml:space="preserve">Harris, T.L., &amp; Wyndham, J.M. (2015). Data Rights and Responsibilities: A Human Rights Perspective on Data Sharing. </w:t>
      </w:r>
      <w:r w:rsidRPr="00CB0133">
        <w:rPr>
          <w:rFonts w:asciiTheme="majorBidi" w:hAnsiTheme="majorBidi" w:cstheme="majorBidi"/>
          <w:i/>
          <w:iCs/>
        </w:rPr>
        <w:t>Journal of Empirical Research on Human Research Ethics</w:t>
      </w:r>
      <w:r w:rsidRPr="00CB0133">
        <w:rPr>
          <w:rFonts w:asciiTheme="majorBidi" w:hAnsiTheme="majorBidi" w:cstheme="majorBidi"/>
        </w:rPr>
        <w:t xml:space="preserve">. </w:t>
      </w:r>
      <w:r w:rsidRPr="00CB0133">
        <w:rPr>
          <w:rFonts w:asciiTheme="majorBidi" w:hAnsiTheme="majorBidi" w:cstheme="majorBidi"/>
          <w:i/>
          <w:iCs/>
        </w:rPr>
        <w:t>10</w:t>
      </w:r>
      <w:r w:rsidRPr="00CB0133">
        <w:rPr>
          <w:rFonts w:asciiTheme="majorBidi" w:hAnsiTheme="majorBidi" w:cstheme="majorBidi"/>
        </w:rPr>
        <w:t>(3), 334–337. https://doi.org/10.1177/1556264615591558</w:t>
      </w:r>
      <w:r w:rsidRPr="00CB0133">
        <w:rPr>
          <w:rFonts w:asciiTheme="majorBidi" w:hAnsiTheme="majorBidi" w:cstheme="majorBidi"/>
        </w:rPr>
        <w:fldChar w:fldCharType="end"/>
      </w:r>
    </w:p>
  </w:footnote>
  <w:footnote w:id="45">
    <w:p w14:paraId="45F90177" w14:textId="5BD12020" w:rsidR="00012DE5" w:rsidRPr="00CB0133" w:rsidRDefault="00012DE5">
      <w:pPr>
        <w:pStyle w:val="FootnoteText"/>
        <w:rPr>
          <w:rFonts w:asciiTheme="majorBidi" w:hAnsiTheme="majorBidi" w:cstheme="majorBidi"/>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{"citationID":"UXqWzFXu","properties":{"formattedCitation":"Benjamin, R. (2016). Informed Refusal: Toward a Justice-based Bioethics. {\\i{}Science, Technology, &amp; Human Values}. {\\i{}41}(6), 967\\uc0\\u8211{}990. https://doi.org/10.1177/0162243916656059","plainCitation":"Benjamin, R. (2016). Informed Refusal: Toward a Justice-based Bioethics. Science, Technology, &amp; Human Values. 41(6), 967–990. https://doi.org/10.1177/0162243916656059","noteIndex":44},"citationItems":[{"id":1792,"uris":["http://zotero.org/users/1170976/items/RYNUKEFZ"],"uri":["http://zotero.org/users/1170976/items/RYNUKEFZ"],"itemData":{"id":1792,"type":"article-journal","container-title":"Science, Technology, &amp; Human Values","DOI":"10.1177/0162243916656059","ISSN":"0162-2439, 1552-8251","issue":"6","language":"en","page":"967-990","source":"Crossref","title":"Informed Refusal: Toward a Justice-based Bioethics","title-short":"Informed Refusal","volume":"41","author":[{"family":"Benjamin","given":"Ruha"}],"issued":{"date-parts":[["2016",11]]}},"locator":"971"}],"schema":"https://github.com/citation-style-language/schema/raw/master/csl-citation.json"}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Benjamin, R. (2016). Informed Refusal: Toward a Justice-based Bioethics. </w:t>
      </w:r>
      <w:r w:rsidRPr="00CB0133">
        <w:rPr>
          <w:rFonts w:asciiTheme="majorBidi" w:hAnsiTheme="majorBidi" w:cstheme="majorBidi"/>
          <w:i/>
          <w:iCs/>
        </w:rPr>
        <w:t>Science, Technology, &amp; Human Values</w:t>
      </w:r>
      <w:r w:rsidRPr="00CB0133">
        <w:rPr>
          <w:rFonts w:asciiTheme="majorBidi" w:hAnsiTheme="majorBidi" w:cstheme="majorBidi"/>
        </w:rPr>
        <w:t xml:space="preserve">. </w:t>
      </w:r>
      <w:r w:rsidRPr="00CB0133">
        <w:rPr>
          <w:rFonts w:asciiTheme="majorBidi" w:hAnsiTheme="majorBidi" w:cstheme="majorBidi"/>
          <w:i/>
          <w:iCs/>
        </w:rPr>
        <w:t>41</w:t>
      </w:r>
      <w:r w:rsidRPr="00CB0133">
        <w:rPr>
          <w:rFonts w:asciiTheme="majorBidi" w:hAnsiTheme="majorBidi" w:cstheme="majorBidi"/>
        </w:rPr>
        <w:t>(6), 967–990. https://doi.org/10.1177/0162243916656059</w:t>
      </w:r>
      <w:r w:rsidRPr="00CB0133">
        <w:rPr>
          <w:rFonts w:asciiTheme="majorBidi" w:hAnsiTheme="majorBidi" w:cstheme="majorBidi"/>
        </w:rPr>
        <w:fldChar w:fldCharType="end"/>
      </w:r>
    </w:p>
  </w:footnote>
  <w:footnote w:id="46">
    <w:p w14:paraId="34E53981" w14:textId="6B787147"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{"citationID":"6k201PAh","properties":{"formattedCitation":"Ross, J.S., &amp; Krumholz, H.M. (2013). Ushering in a New Era of Open Science Through Data Sharing: The Wall Must Come Down. {\\i{}JAMA}. {\\i{}309}(13), 1355. https://doi.org/10.1001/jama.2013.1299Molloy, J.C. (2011). The Open Knowledge Foundation: Open Data Means Better Science. {\\i{}PLoS Biology}. {\\i{}9}(12), e1001195. https://doi.org/10.1371/journal.pbio.1001195","plainCitation":"Ross, J.S., &amp; Krumholz, H.M. (2013). Ushering in a New Era of Open Science Through Data Sharing: The Wall Must Come Down. JAMA. 309(13), 1355. https://doi.org/10.1001/jama.2013.1299Molloy, J.C. (2011). The Open Knowledge Foundation: Open Data Means Better Science. PLoS Biology. 9(12), e1001195. https://doi.org/10.1371/journal.pbio.1001195","dontUpdate":true,"noteIndex":45},"citationItems":[{"id":1555,"uris":["http://zotero.org/users/1170976/items/PUXST74V"],"uri":["http://zotero.org/users/1170976/items/PUXST74V"],"itemData":{"id":1555,"type":"article-journal","container-title":"PLoS Biology","DOI":"10.1371/journal.pbio.1001195","ISSN":"1545-7885","issue":"12","language":"en","page":"e1001195","source":"Crossref","title":"The Open Knowledge Foundation: Open Data Means Better Science","title-short":"The Open Knowledge Foundation","volume":"9","author":[{"family":"Molloy","given":"Jennifer C."}],"issued":{"date-parts":[["2011",12,6]]}}},{"id":1554,"uris":["http://zotero.org/users/1170976/items/T88G4EKS"],"uri":["http://zotero.org/users/1170976/items/T88G4EKS"],"itemData":{"id":1554,"type":"article-journal","container-title":"JAMA","DOI":"10.1001/jama.2013.1299","ISSN":"0098-7484","issue":"13","language":"en","page":"1355","source":"Crossref","title":"Ushering in a New Era of Open Science Through Data Sharing: The Wall Must Come Down","title-short":"Ushering in a New Era of Open Science Through Data Sharing","volume":"309","author":[{"family":"Ross","given":"Joseph S."},{"family":"Krumholz","given":"Harlan M."}],"issued":{"date-parts":[["2013",4,3]]}}}],"schema":"https://github.com/citation-style-language/schema/raw/master/csl-citation.json"}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Ross, J.S., &amp; Krumholz, H.M. (2013). Ushering in a New Era of Open Science Through Data Sharing: The Wall Must Come Down. </w:t>
      </w:r>
      <w:r w:rsidRPr="00CB0133">
        <w:rPr>
          <w:rFonts w:asciiTheme="majorBidi" w:hAnsiTheme="majorBidi" w:cstheme="majorBidi"/>
          <w:i/>
          <w:iCs/>
        </w:rPr>
        <w:t>JAMA</w:t>
      </w:r>
      <w:r w:rsidRPr="00CB0133">
        <w:rPr>
          <w:rFonts w:asciiTheme="majorBidi" w:hAnsiTheme="majorBidi" w:cstheme="majorBidi"/>
        </w:rPr>
        <w:t xml:space="preserve">. </w:t>
      </w:r>
      <w:r w:rsidRPr="00CB0133">
        <w:rPr>
          <w:rFonts w:asciiTheme="majorBidi" w:hAnsiTheme="majorBidi" w:cstheme="majorBidi"/>
          <w:i/>
          <w:iCs/>
        </w:rPr>
        <w:t>309</w:t>
      </w:r>
      <w:r w:rsidRPr="00CB0133">
        <w:rPr>
          <w:rFonts w:asciiTheme="majorBidi" w:hAnsiTheme="majorBidi" w:cstheme="majorBidi"/>
        </w:rPr>
        <w:t>(13), 1355. https://doi.org/10.1001/jama.2013.1299</w:t>
      </w:r>
      <w:r w:rsidR="0061167D" w:rsidRPr="00CB0133">
        <w:rPr>
          <w:rFonts w:asciiTheme="majorBidi" w:hAnsiTheme="majorBidi" w:cstheme="majorBidi"/>
        </w:rPr>
        <w:t xml:space="preserve">; </w:t>
      </w:r>
      <w:r w:rsidRPr="00CB0133">
        <w:rPr>
          <w:rFonts w:asciiTheme="majorBidi" w:hAnsiTheme="majorBidi" w:cstheme="majorBidi"/>
        </w:rPr>
        <w:t xml:space="preserve">Molloy, J.C. (2011). The Open Knowledge Foundation: Open Data Means Better Science. </w:t>
      </w:r>
      <w:r w:rsidRPr="00CB0133">
        <w:rPr>
          <w:rFonts w:asciiTheme="majorBidi" w:hAnsiTheme="majorBidi" w:cstheme="majorBidi"/>
          <w:i/>
          <w:iCs/>
        </w:rPr>
        <w:t>PLoS Biology</w:t>
      </w:r>
      <w:r w:rsidRPr="00CB0133">
        <w:rPr>
          <w:rFonts w:asciiTheme="majorBidi" w:hAnsiTheme="majorBidi" w:cstheme="majorBidi"/>
        </w:rPr>
        <w:t xml:space="preserve">. </w:t>
      </w:r>
      <w:r w:rsidRPr="00CB0133">
        <w:rPr>
          <w:rFonts w:asciiTheme="majorBidi" w:hAnsiTheme="majorBidi" w:cstheme="majorBidi"/>
          <w:i/>
          <w:iCs/>
        </w:rPr>
        <w:t>9</w:t>
      </w:r>
      <w:r w:rsidRPr="00CB0133">
        <w:rPr>
          <w:rFonts w:asciiTheme="majorBidi" w:hAnsiTheme="majorBidi" w:cstheme="majorBidi"/>
        </w:rPr>
        <w:t>(12), e1001195. https://doi.org/10.1371/journal.pbio.1001195</w:t>
      </w:r>
      <w:r w:rsidRPr="00CB0133">
        <w:rPr>
          <w:rFonts w:asciiTheme="majorBidi" w:hAnsiTheme="majorBidi" w:cstheme="majorBidi"/>
        </w:rPr>
        <w:fldChar w:fldCharType="end"/>
      </w:r>
    </w:p>
  </w:footnote>
  <w:footnote w:id="47">
    <w:p w14:paraId="43AE39B4" w14:textId="7D983A33" w:rsidR="00463DA8" w:rsidRPr="00CB0133" w:rsidRDefault="00463DA8">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{"citationID":"AasBAIHM","properties":{"formattedCitation":"Capps, B. (2012). The Public Interest, Public Goods, and Third-Party Access to UK Biobank. {\\i{}Public Health Ethics}. {\\i{}5}(3), 240\\uc0\\u8211{}251. https://doi.org/10.1093/phe/phs017","plainCitation":"Capps, B. (2012). The Public Interest, Public Goods, and Third-Party Access to UK Biobank. Public Health Ethics. 5(3), 240–251. https://doi.org/10.1093/phe/phs017","noteIndex":46},"citationItems":[{"id":1556,"uris":["http://zotero.org/users/1170976/items/5CISVXZH"],"uri":["http://zotero.org/users/1170976/items/5CISVXZH"],"itemData":{"id":1556,"type":"article-journal","container-title":"Public Health Ethics","DOI":"10.1093/phe/phs017","ISSN":"1754-9973, 1754-9981","issue":"3","language":"en","page":"240-251","source":"Crossref","title":"The Public Interest, Public Goods, and Third-Party Access to UK Biobank","volume":"5","author":[{"family":"Capps","given":"B."}],"issued":{"date-parts":[["2012",11,1]]}}}],"schema":"https://github.com/citation-style-language/schema/raw/master/csl-citation.json"}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Capps, B. (2012). The Public Interest, Public Goods, and Third-Party Access to UK Biobank. </w:t>
      </w:r>
      <w:r w:rsidRPr="00CB0133">
        <w:rPr>
          <w:rFonts w:asciiTheme="majorBidi" w:hAnsiTheme="majorBidi" w:cstheme="majorBidi"/>
          <w:i/>
          <w:iCs/>
        </w:rPr>
        <w:t>Public Health Ethics</w:t>
      </w:r>
      <w:r w:rsidRPr="00CB0133">
        <w:rPr>
          <w:rFonts w:asciiTheme="majorBidi" w:hAnsiTheme="majorBidi" w:cstheme="majorBidi"/>
        </w:rPr>
        <w:t xml:space="preserve">. </w:t>
      </w:r>
      <w:r w:rsidRPr="00CB0133">
        <w:rPr>
          <w:rFonts w:asciiTheme="majorBidi" w:hAnsiTheme="majorBidi" w:cstheme="majorBidi"/>
          <w:i/>
          <w:iCs/>
        </w:rPr>
        <w:t>5</w:t>
      </w:r>
      <w:r w:rsidRPr="00CB0133">
        <w:rPr>
          <w:rFonts w:asciiTheme="majorBidi" w:hAnsiTheme="majorBidi" w:cstheme="majorBidi"/>
        </w:rPr>
        <w:t>(3), 240–251. https://doi.org/10.1093/phe/phs017</w:t>
      </w:r>
      <w:r w:rsidRPr="00CB0133">
        <w:rPr>
          <w:rFonts w:asciiTheme="majorBidi" w:hAnsiTheme="majorBidi" w:cstheme="majorBidi"/>
        </w:rPr>
        <w:fldChar w:fldCharType="end"/>
      </w:r>
    </w:p>
  </w:footnote>
  <w:footnote w:id="48">
    <w:p w14:paraId="32E15A66" w14:textId="01B5A077" w:rsidR="00A94A81" w:rsidRPr="00CB0133" w:rsidRDefault="00A94A81">
      <w:pPr>
        <w:pStyle w:val="FootnoteText"/>
        <w:rPr>
          <w:rFonts w:asciiTheme="majorBidi" w:hAnsiTheme="majorBidi" w:cstheme="majorBidi"/>
          <w:lang w:val="en-US"/>
        </w:rPr>
      </w:pPr>
      <w:r w:rsidRPr="00CB0133">
        <w:rPr>
          <w:rStyle w:val="FootnoteReference"/>
          <w:rFonts w:asciiTheme="majorBidi" w:hAnsiTheme="majorBidi" w:cstheme="majorBidi"/>
        </w:rPr>
        <w:footnoteRef/>
      </w:r>
      <w:r w:rsidRPr="00CB0133">
        <w:rPr>
          <w:rFonts w:asciiTheme="majorBidi" w:hAnsiTheme="majorBidi" w:cstheme="majorBidi"/>
        </w:rPr>
        <w:t xml:space="preserve"> </w:t>
      </w:r>
      <w:r w:rsidRPr="00CB0133">
        <w:rPr>
          <w:rFonts w:asciiTheme="majorBidi" w:hAnsiTheme="majorBidi" w:cstheme="majorBidi"/>
        </w:rPr>
        <w:fldChar w:fldCharType="begin"/>
      </w:r>
      <w:r w:rsidR="00CA2D8C">
        <w:rPr>
          <w:rFonts w:asciiTheme="majorBidi" w:hAnsiTheme="majorBidi" w:cstheme="majorBidi"/>
        </w:rPr>
        <w:instrText xml:space="preserve"> ADDIN ZOTERO_ITEM CSL_CITATION {"citationID":"pAT7UPF5","properties":{"formattedCitation":"Obasogie, O.K. (n.d.). The Return of Biological Race? Regulating Race and Genetics Through Administrative Agency Race Impact Assessments. {\\i{}Southern California Inderdisciplinary Law Journal}. {\\i{}22}(1), 1\\uc0\\u8211{}64.","plainCitation":"Obasogie, O.K. (n.d.). The Return of Biological Race? Regulating Race and Genetics Through Administrative Agency Race Impact Assessments. Southern California Inderdisciplinary Law Journal. 22(1), 1–64.","noteIndex":47},"citationItems":[{"id":1799,"uris":["http://zotero.org/users/1170976/items/ULLGF2P6"],"uri":["http://zotero.org/users/1170976/items/ULLGF2P6"],"itemData":{"id":1799,"type":"article-journal","container-title":"Southern California Inderdisciplinary Law Journal","issue":"1","page":"1-64","title":"The Return of Biological Race? Regulating Race and Genetics Through Administrative Agency Race Impact Assessments","volume":"22","author":[{"family":"Obasogie","given":"Osagie K."}]}}],"schema":"https://github.com/citation-style-language/schema/raw/master/csl-citation.json"} </w:instrText>
      </w:r>
      <w:r w:rsidRPr="00CB0133">
        <w:rPr>
          <w:rFonts w:asciiTheme="majorBidi" w:hAnsiTheme="majorBidi" w:cstheme="majorBidi"/>
        </w:rPr>
        <w:fldChar w:fldCharType="separate"/>
      </w:r>
      <w:r w:rsidRPr="00CB0133">
        <w:rPr>
          <w:rFonts w:asciiTheme="majorBidi" w:hAnsiTheme="majorBidi" w:cstheme="majorBidi"/>
        </w:rPr>
        <w:t xml:space="preserve">Obasogie, O.K. (n.d.). The Return of Biological Race? Regulating Race and Genetics Through Administrative Agency Race Impact Assessments. </w:t>
      </w:r>
      <w:r w:rsidRPr="00CB0133">
        <w:rPr>
          <w:rFonts w:asciiTheme="majorBidi" w:hAnsiTheme="majorBidi" w:cstheme="majorBidi"/>
          <w:i/>
          <w:iCs/>
        </w:rPr>
        <w:t>Southern California Inderdisciplinary Law Journal</w:t>
      </w:r>
      <w:r w:rsidRPr="00CB0133">
        <w:rPr>
          <w:rFonts w:asciiTheme="majorBidi" w:hAnsiTheme="majorBidi" w:cstheme="majorBidi"/>
        </w:rPr>
        <w:t xml:space="preserve">. </w:t>
      </w:r>
      <w:r w:rsidRPr="00CB0133">
        <w:rPr>
          <w:rFonts w:asciiTheme="majorBidi" w:hAnsiTheme="majorBidi" w:cstheme="majorBidi"/>
          <w:i/>
          <w:iCs/>
        </w:rPr>
        <w:t>22</w:t>
      </w:r>
      <w:r w:rsidRPr="00CB0133">
        <w:rPr>
          <w:rFonts w:asciiTheme="majorBidi" w:hAnsiTheme="majorBidi" w:cstheme="majorBidi"/>
        </w:rPr>
        <w:t>(1), 1–64.</w:t>
      </w:r>
      <w:r w:rsidRPr="00CB0133">
        <w:rPr>
          <w:rFonts w:asciiTheme="majorBidi" w:hAnsiTheme="majorBidi" w:cstheme="majorBid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37100"/>
    <w:multiLevelType w:val="hybridMultilevel"/>
    <w:tmpl w:val="C630BF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16C3A91"/>
    <w:multiLevelType w:val="hybridMultilevel"/>
    <w:tmpl w:val="D64A8D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B073BBF"/>
    <w:multiLevelType w:val="hybridMultilevel"/>
    <w:tmpl w:val="02C6CB74"/>
    <w:lvl w:ilvl="0" w:tplc="D012FFC6">
      <w:start w:val="1"/>
      <w:numFmt w:val="decimal"/>
      <w:lvlText w:val="%1)"/>
      <w:lvlJc w:val="left"/>
      <w:pPr>
        <w:ind w:left="720" w:hanging="360"/>
      </w:pPr>
      <w:rPr>
        <w:rFonts w:ascii="Arial" w:hAnsi="Arial" w:cs="Arial" w:hint="default"/>
        <w:color w:val="333333"/>
        <w:sz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D5"/>
    <w:rsid w:val="00001A80"/>
    <w:rsid w:val="00001CB1"/>
    <w:rsid w:val="00012DE5"/>
    <w:rsid w:val="00036FA3"/>
    <w:rsid w:val="00087D91"/>
    <w:rsid w:val="000912D6"/>
    <w:rsid w:val="000A129D"/>
    <w:rsid w:val="000A3C0F"/>
    <w:rsid w:val="000B5913"/>
    <w:rsid w:val="000B67DB"/>
    <w:rsid w:val="000C2EDA"/>
    <w:rsid w:val="000C4A6A"/>
    <w:rsid w:val="000E2A13"/>
    <w:rsid w:val="000F498E"/>
    <w:rsid w:val="00105F58"/>
    <w:rsid w:val="00112B05"/>
    <w:rsid w:val="00113943"/>
    <w:rsid w:val="0012073D"/>
    <w:rsid w:val="0012648E"/>
    <w:rsid w:val="0014380E"/>
    <w:rsid w:val="001458CE"/>
    <w:rsid w:val="00192F68"/>
    <w:rsid w:val="0019485D"/>
    <w:rsid w:val="001A3016"/>
    <w:rsid w:val="001A5FB4"/>
    <w:rsid w:val="001C0DE0"/>
    <w:rsid w:val="001C25F0"/>
    <w:rsid w:val="001C4B76"/>
    <w:rsid w:val="001C7168"/>
    <w:rsid w:val="001E1EAE"/>
    <w:rsid w:val="001E52A2"/>
    <w:rsid w:val="001E73E7"/>
    <w:rsid w:val="001F7343"/>
    <w:rsid w:val="002017E7"/>
    <w:rsid w:val="0021236E"/>
    <w:rsid w:val="0023553D"/>
    <w:rsid w:val="00236017"/>
    <w:rsid w:val="002533AD"/>
    <w:rsid w:val="002547D9"/>
    <w:rsid w:val="00260070"/>
    <w:rsid w:val="00283025"/>
    <w:rsid w:val="00285104"/>
    <w:rsid w:val="002911A1"/>
    <w:rsid w:val="002A19D7"/>
    <w:rsid w:val="002D4B8D"/>
    <w:rsid w:val="002E2871"/>
    <w:rsid w:val="002E4E06"/>
    <w:rsid w:val="00311A2E"/>
    <w:rsid w:val="00315E90"/>
    <w:rsid w:val="00316242"/>
    <w:rsid w:val="00332E41"/>
    <w:rsid w:val="00334477"/>
    <w:rsid w:val="00341D88"/>
    <w:rsid w:val="00345426"/>
    <w:rsid w:val="00365BA2"/>
    <w:rsid w:val="00365D13"/>
    <w:rsid w:val="00372B17"/>
    <w:rsid w:val="003919BB"/>
    <w:rsid w:val="00394A63"/>
    <w:rsid w:val="003A07F8"/>
    <w:rsid w:val="003A2C57"/>
    <w:rsid w:val="003B1E6D"/>
    <w:rsid w:val="003B464F"/>
    <w:rsid w:val="003D6816"/>
    <w:rsid w:val="003E04E6"/>
    <w:rsid w:val="003E0B36"/>
    <w:rsid w:val="003E4EAC"/>
    <w:rsid w:val="003E53CA"/>
    <w:rsid w:val="00401335"/>
    <w:rsid w:val="00402DCF"/>
    <w:rsid w:val="004218B1"/>
    <w:rsid w:val="00444109"/>
    <w:rsid w:val="004472B9"/>
    <w:rsid w:val="00447617"/>
    <w:rsid w:val="00463DA8"/>
    <w:rsid w:val="0046459B"/>
    <w:rsid w:val="00465872"/>
    <w:rsid w:val="00477C69"/>
    <w:rsid w:val="00483B83"/>
    <w:rsid w:val="00494222"/>
    <w:rsid w:val="00497324"/>
    <w:rsid w:val="004A281E"/>
    <w:rsid w:val="004A3450"/>
    <w:rsid w:val="004C5001"/>
    <w:rsid w:val="004D6A8E"/>
    <w:rsid w:val="004E0E61"/>
    <w:rsid w:val="004E478E"/>
    <w:rsid w:val="004E5049"/>
    <w:rsid w:val="004F573E"/>
    <w:rsid w:val="00521964"/>
    <w:rsid w:val="00535366"/>
    <w:rsid w:val="00560096"/>
    <w:rsid w:val="00574FF3"/>
    <w:rsid w:val="0057586F"/>
    <w:rsid w:val="00577A0F"/>
    <w:rsid w:val="005844B1"/>
    <w:rsid w:val="0058520A"/>
    <w:rsid w:val="00590BFC"/>
    <w:rsid w:val="00595C6B"/>
    <w:rsid w:val="005B75E0"/>
    <w:rsid w:val="005C62C8"/>
    <w:rsid w:val="005C703F"/>
    <w:rsid w:val="005D7773"/>
    <w:rsid w:val="005E25AD"/>
    <w:rsid w:val="005F096F"/>
    <w:rsid w:val="005F1C53"/>
    <w:rsid w:val="005F35C5"/>
    <w:rsid w:val="005F404A"/>
    <w:rsid w:val="0061167D"/>
    <w:rsid w:val="00672CDF"/>
    <w:rsid w:val="0069009F"/>
    <w:rsid w:val="006A3C89"/>
    <w:rsid w:val="006C5A28"/>
    <w:rsid w:val="006F5CF9"/>
    <w:rsid w:val="006F5D78"/>
    <w:rsid w:val="00715FE5"/>
    <w:rsid w:val="00722BA5"/>
    <w:rsid w:val="007314B3"/>
    <w:rsid w:val="007351FE"/>
    <w:rsid w:val="00742E77"/>
    <w:rsid w:val="007478EC"/>
    <w:rsid w:val="00751171"/>
    <w:rsid w:val="00751F07"/>
    <w:rsid w:val="00752EF1"/>
    <w:rsid w:val="007668DA"/>
    <w:rsid w:val="00777AC7"/>
    <w:rsid w:val="007A5D2A"/>
    <w:rsid w:val="007B3673"/>
    <w:rsid w:val="007B3846"/>
    <w:rsid w:val="007B3F40"/>
    <w:rsid w:val="007C12A9"/>
    <w:rsid w:val="007C14F6"/>
    <w:rsid w:val="007C23D6"/>
    <w:rsid w:val="007D6F22"/>
    <w:rsid w:val="007D7A76"/>
    <w:rsid w:val="00817175"/>
    <w:rsid w:val="00846C34"/>
    <w:rsid w:val="00860D83"/>
    <w:rsid w:val="00863FA0"/>
    <w:rsid w:val="008678AF"/>
    <w:rsid w:val="008A5A1D"/>
    <w:rsid w:val="008A6368"/>
    <w:rsid w:val="008B39BE"/>
    <w:rsid w:val="008E1B5D"/>
    <w:rsid w:val="008E6084"/>
    <w:rsid w:val="008F5C59"/>
    <w:rsid w:val="009003DA"/>
    <w:rsid w:val="009011B2"/>
    <w:rsid w:val="009102AC"/>
    <w:rsid w:val="00921050"/>
    <w:rsid w:val="00924EAD"/>
    <w:rsid w:val="00925540"/>
    <w:rsid w:val="0093644E"/>
    <w:rsid w:val="00937167"/>
    <w:rsid w:val="00953179"/>
    <w:rsid w:val="00953DDE"/>
    <w:rsid w:val="009661B9"/>
    <w:rsid w:val="00974163"/>
    <w:rsid w:val="00981B4C"/>
    <w:rsid w:val="009955FA"/>
    <w:rsid w:val="009A4CAD"/>
    <w:rsid w:val="009B4604"/>
    <w:rsid w:val="009B6C71"/>
    <w:rsid w:val="009C2BEA"/>
    <w:rsid w:val="009D004A"/>
    <w:rsid w:val="009E78DC"/>
    <w:rsid w:val="009F7793"/>
    <w:rsid w:val="00A125B8"/>
    <w:rsid w:val="00A13750"/>
    <w:rsid w:val="00A272A2"/>
    <w:rsid w:val="00A465F6"/>
    <w:rsid w:val="00A46615"/>
    <w:rsid w:val="00A7329A"/>
    <w:rsid w:val="00A75498"/>
    <w:rsid w:val="00A77209"/>
    <w:rsid w:val="00A77656"/>
    <w:rsid w:val="00A86263"/>
    <w:rsid w:val="00A87F98"/>
    <w:rsid w:val="00A94A81"/>
    <w:rsid w:val="00AA43BE"/>
    <w:rsid w:val="00AA66D8"/>
    <w:rsid w:val="00AD6339"/>
    <w:rsid w:val="00B00793"/>
    <w:rsid w:val="00B2484B"/>
    <w:rsid w:val="00B248D3"/>
    <w:rsid w:val="00B363A0"/>
    <w:rsid w:val="00B43A76"/>
    <w:rsid w:val="00B503CE"/>
    <w:rsid w:val="00B56474"/>
    <w:rsid w:val="00B60333"/>
    <w:rsid w:val="00B711AE"/>
    <w:rsid w:val="00B84B20"/>
    <w:rsid w:val="00B917EA"/>
    <w:rsid w:val="00B91A7B"/>
    <w:rsid w:val="00BA4E51"/>
    <w:rsid w:val="00BB1889"/>
    <w:rsid w:val="00BB3A8F"/>
    <w:rsid w:val="00BE3A8B"/>
    <w:rsid w:val="00BF0B49"/>
    <w:rsid w:val="00BF26A3"/>
    <w:rsid w:val="00BF4AAF"/>
    <w:rsid w:val="00BF647E"/>
    <w:rsid w:val="00C2469A"/>
    <w:rsid w:val="00C27E91"/>
    <w:rsid w:val="00C34362"/>
    <w:rsid w:val="00C533D1"/>
    <w:rsid w:val="00C55E45"/>
    <w:rsid w:val="00C6271E"/>
    <w:rsid w:val="00C638D5"/>
    <w:rsid w:val="00C73785"/>
    <w:rsid w:val="00C76038"/>
    <w:rsid w:val="00C81FEC"/>
    <w:rsid w:val="00C970D2"/>
    <w:rsid w:val="00CA2D8C"/>
    <w:rsid w:val="00CB0133"/>
    <w:rsid w:val="00CC32DE"/>
    <w:rsid w:val="00CC6A27"/>
    <w:rsid w:val="00CE2F0F"/>
    <w:rsid w:val="00D15E11"/>
    <w:rsid w:val="00D43988"/>
    <w:rsid w:val="00D44CB0"/>
    <w:rsid w:val="00D51311"/>
    <w:rsid w:val="00D62407"/>
    <w:rsid w:val="00D66FB3"/>
    <w:rsid w:val="00D67072"/>
    <w:rsid w:val="00D84B20"/>
    <w:rsid w:val="00D91A7B"/>
    <w:rsid w:val="00DC419A"/>
    <w:rsid w:val="00DD6F82"/>
    <w:rsid w:val="00DE5497"/>
    <w:rsid w:val="00DF2C0B"/>
    <w:rsid w:val="00DF5CBF"/>
    <w:rsid w:val="00E03097"/>
    <w:rsid w:val="00E053AF"/>
    <w:rsid w:val="00E06919"/>
    <w:rsid w:val="00E1494A"/>
    <w:rsid w:val="00E17661"/>
    <w:rsid w:val="00E212C8"/>
    <w:rsid w:val="00E4078D"/>
    <w:rsid w:val="00E4737E"/>
    <w:rsid w:val="00E73970"/>
    <w:rsid w:val="00E863FB"/>
    <w:rsid w:val="00E90BF8"/>
    <w:rsid w:val="00E92CF8"/>
    <w:rsid w:val="00EA04A8"/>
    <w:rsid w:val="00EC636A"/>
    <w:rsid w:val="00EF556C"/>
    <w:rsid w:val="00EF75B0"/>
    <w:rsid w:val="00F028A2"/>
    <w:rsid w:val="00F21ADD"/>
    <w:rsid w:val="00F2702F"/>
    <w:rsid w:val="00F348A1"/>
    <w:rsid w:val="00F40E11"/>
    <w:rsid w:val="00F423F6"/>
    <w:rsid w:val="00F537D5"/>
    <w:rsid w:val="00F57F7D"/>
    <w:rsid w:val="00F85B31"/>
    <w:rsid w:val="00F85CC2"/>
    <w:rsid w:val="00F93576"/>
    <w:rsid w:val="00FA7B8B"/>
    <w:rsid w:val="00FB189D"/>
    <w:rsid w:val="00FC341C"/>
    <w:rsid w:val="00FC469B"/>
    <w:rsid w:val="00FD1669"/>
    <w:rsid w:val="00FF28E4"/>
    <w:rsid w:val="00FF792C"/>
  </w:rsids>
  <m:mathPr>
    <m:mathFont m:val="Cambria Math"/>
    <m:brkBin m:val="before"/>
    <m:brkBinSub m:val="--"/>
    <m:smallFrac m:val="0"/>
    <m:dispDef/>
    <m:lMargin m:val="0"/>
    <m:rMargin m:val="0"/>
    <m:defJc m:val="centerGroup"/>
    <m:wrapIndent m:val="1440"/>
    <m:intLim m:val="subSup"/>
    <m:naryLim m:val="undOvr"/>
  </m:mathPr>
  <w:themeFontLang w:val="en-SG"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108D"/>
  <w15:chartTrackingRefBased/>
  <w15:docId w15:val="{F9E2814F-490A-4501-B3F0-1A3C50E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7D5"/>
    <w:pPr>
      <w:ind w:left="720"/>
      <w:contextualSpacing/>
    </w:pPr>
  </w:style>
  <w:style w:type="paragraph" w:styleId="NoSpacing">
    <w:name w:val="No Spacing"/>
    <w:uiPriority w:val="1"/>
    <w:qFormat/>
    <w:rsid w:val="00D44CB0"/>
    <w:pPr>
      <w:spacing w:after="0" w:line="240" w:lineRule="auto"/>
    </w:pPr>
  </w:style>
  <w:style w:type="character" w:styleId="CommentReference">
    <w:name w:val="annotation reference"/>
    <w:basedOn w:val="DefaultParagraphFont"/>
    <w:uiPriority w:val="99"/>
    <w:semiHidden/>
    <w:unhideWhenUsed/>
    <w:rsid w:val="0023553D"/>
    <w:rPr>
      <w:sz w:val="16"/>
      <w:szCs w:val="16"/>
    </w:rPr>
  </w:style>
  <w:style w:type="paragraph" w:styleId="CommentText">
    <w:name w:val="annotation text"/>
    <w:basedOn w:val="Normal"/>
    <w:link w:val="CommentTextChar"/>
    <w:uiPriority w:val="99"/>
    <w:unhideWhenUsed/>
    <w:rsid w:val="0023553D"/>
    <w:pPr>
      <w:spacing w:line="240" w:lineRule="auto"/>
    </w:pPr>
    <w:rPr>
      <w:sz w:val="20"/>
      <w:szCs w:val="20"/>
    </w:rPr>
  </w:style>
  <w:style w:type="character" w:customStyle="1" w:styleId="CommentTextChar">
    <w:name w:val="Comment Text Char"/>
    <w:basedOn w:val="DefaultParagraphFont"/>
    <w:link w:val="CommentText"/>
    <w:uiPriority w:val="99"/>
    <w:rsid w:val="0023553D"/>
    <w:rPr>
      <w:sz w:val="20"/>
      <w:szCs w:val="20"/>
    </w:rPr>
  </w:style>
  <w:style w:type="paragraph" w:styleId="CommentSubject">
    <w:name w:val="annotation subject"/>
    <w:basedOn w:val="CommentText"/>
    <w:next w:val="CommentText"/>
    <w:link w:val="CommentSubjectChar"/>
    <w:uiPriority w:val="99"/>
    <w:semiHidden/>
    <w:unhideWhenUsed/>
    <w:rsid w:val="0023553D"/>
    <w:rPr>
      <w:b/>
      <w:bCs/>
    </w:rPr>
  </w:style>
  <w:style w:type="character" w:customStyle="1" w:styleId="CommentSubjectChar">
    <w:name w:val="Comment Subject Char"/>
    <w:basedOn w:val="CommentTextChar"/>
    <w:link w:val="CommentSubject"/>
    <w:uiPriority w:val="99"/>
    <w:semiHidden/>
    <w:rsid w:val="0023553D"/>
    <w:rPr>
      <w:b/>
      <w:bCs/>
      <w:sz w:val="20"/>
      <w:szCs w:val="20"/>
    </w:rPr>
  </w:style>
  <w:style w:type="paragraph" w:styleId="BalloonText">
    <w:name w:val="Balloon Text"/>
    <w:basedOn w:val="Normal"/>
    <w:link w:val="BalloonTextChar"/>
    <w:uiPriority w:val="99"/>
    <w:semiHidden/>
    <w:unhideWhenUsed/>
    <w:rsid w:val="00235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53D"/>
    <w:rPr>
      <w:rFonts w:ascii="Segoe UI" w:hAnsi="Segoe UI" w:cs="Segoe UI"/>
      <w:sz w:val="18"/>
      <w:szCs w:val="18"/>
    </w:rPr>
  </w:style>
  <w:style w:type="paragraph" w:styleId="FootnoteText">
    <w:name w:val="footnote text"/>
    <w:basedOn w:val="Normal"/>
    <w:link w:val="FootnoteTextChar"/>
    <w:uiPriority w:val="99"/>
    <w:semiHidden/>
    <w:unhideWhenUsed/>
    <w:rsid w:val="008A5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A1D"/>
    <w:rPr>
      <w:sz w:val="20"/>
      <w:szCs w:val="20"/>
    </w:rPr>
  </w:style>
  <w:style w:type="character" w:styleId="FootnoteReference">
    <w:name w:val="footnote reference"/>
    <w:basedOn w:val="DefaultParagraphFont"/>
    <w:uiPriority w:val="99"/>
    <w:semiHidden/>
    <w:unhideWhenUsed/>
    <w:rsid w:val="008A5A1D"/>
    <w:rPr>
      <w:vertAlign w:val="superscript"/>
    </w:rPr>
  </w:style>
  <w:style w:type="paragraph" w:styleId="Header">
    <w:name w:val="header"/>
    <w:basedOn w:val="Normal"/>
    <w:link w:val="HeaderChar"/>
    <w:uiPriority w:val="99"/>
    <w:unhideWhenUsed/>
    <w:rsid w:val="0019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5D"/>
  </w:style>
  <w:style w:type="paragraph" w:styleId="Footer">
    <w:name w:val="footer"/>
    <w:basedOn w:val="Normal"/>
    <w:link w:val="FooterChar"/>
    <w:uiPriority w:val="99"/>
    <w:unhideWhenUsed/>
    <w:rsid w:val="0019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5D"/>
  </w:style>
  <w:style w:type="character" w:styleId="Hyperlink">
    <w:name w:val="Hyperlink"/>
    <w:basedOn w:val="DefaultParagraphFont"/>
    <w:uiPriority w:val="99"/>
    <w:semiHidden/>
    <w:unhideWhenUsed/>
    <w:rsid w:val="00105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6717">
      <w:bodyDiv w:val="1"/>
      <w:marLeft w:val="0"/>
      <w:marRight w:val="0"/>
      <w:marTop w:val="0"/>
      <w:marBottom w:val="0"/>
      <w:divBdr>
        <w:top w:val="none" w:sz="0" w:space="0" w:color="auto"/>
        <w:left w:val="none" w:sz="0" w:space="0" w:color="auto"/>
        <w:bottom w:val="none" w:sz="0" w:space="0" w:color="auto"/>
        <w:right w:val="none" w:sz="0" w:space="0" w:color="auto"/>
      </w:divBdr>
    </w:div>
    <w:div w:id="16366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bioe.127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0226-E752-4243-86F8-24F5E20F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Schaefer</dc:creator>
  <cp:keywords/>
  <dc:description/>
  <cp:lastModifiedBy>Owen Schaefer</cp:lastModifiedBy>
  <cp:revision>7</cp:revision>
  <dcterms:created xsi:type="dcterms:W3CDTF">2020-05-19T16:23:00Z</dcterms:created>
  <dcterms:modified xsi:type="dcterms:W3CDTF">2020-05-19T16:40:00Z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id="rt5Mz1VO"/&gt;&lt;style id="http://www.zotero.org/styles/bioethics" hasBibliography="0"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ies>
</file>