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FF80F" w14:textId="29A723E2" w:rsidR="00F54D6D" w:rsidRDefault="00F54D6D" w:rsidP="00F54D6D">
      <w:pPr>
        <w:jc w:val="center"/>
        <w:rPr>
          <w:b/>
          <w:smallCaps/>
        </w:rPr>
      </w:pPr>
      <w:r w:rsidRPr="008E2A01">
        <w:rPr>
          <w:b/>
          <w:smallCaps/>
        </w:rPr>
        <w:t>Conceptual Change in Perspective</w:t>
      </w:r>
    </w:p>
    <w:p w14:paraId="0C186FB2" w14:textId="06F1D057" w:rsidR="00A06009" w:rsidRDefault="00A06009" w:rsidP="00F54D6D">
      <w:pPr>
        <w:jc w:val="center"/>
        <w:rPr>
          <w:b/>
          <w:smallCaps/>
        </w:rPr>
      </w:pPr>
    </w:p>
    <w:p w14:paraId="05D24225" w14:textId="7308EB64" w:rsidR="00A06009" w:rsidRDefault="00A06009" w:rsidP="00937C18">
      <w:pPr>
        <w:jc w:val="center"/>
        <w:rPr>
          <w:rFonts w:cs="Times New Roman (Body CS)"/>
          <w:bCs/>
        </w:rPr>
      </w:pPr>
      <w:r w:rsidRPr="00A06009">
        <w:rPr>
          <w:rFonts w:cs="Times New Roman (Body CS)"/>
          <w:bCs/>
        </w:rPr>
        <w:t>This is a pre-print</w:t>
      </w:r>
      <w:r>
        <w:rPr>
          <w:rFonts w:cs="Times New Roman (Body CS)"/>
          <w:bCs/>
        </w:rPr>
        <w:t xml:space="preserve">. Please cite the published version: </w:t>
      </w:r>
      <w:hyperlink r:id="rId8" w:history="1">
        <w:r w:rsidRPr="0021414F">
          <w:rPr>
            <w:rStyle w:val="Hyperlink"/>
            <w:rFonts w:cs="Times New Roman (Body CS)"/>
            <w:bCs/>
          </w:rPr>
          <w:t>https://www.tandfonline.com/doi/abs/10.1080/0020174X.2020.1805705?journalCode=sinq20</w:t>
        </w:r>
      </w:hyperlink>
    </w:p>
    <w:p w14:paraId="383B504B" w14:textId="77777777" w:rsidR="00937C18" w:rsidRPr="00A06009" w:rsidRDefault="00937C18" w:rsidP="00937C18">
      <w:pPr>
        <w:jc w:val="center"/>
        <w:rPr>
          <w:rFonts w:cs="Times New Roman (Body CS)"/>
          <w:bCs/>
        </w:rPr>
      </w:pPr>
    </w:p>
    <w:p w14:paraId="29FC0CE0" w14:textId="77777777" w:rsidR="00F54D6D" w:rsidRDefault="00AC7BE2">
      <w:r>
        <w:rPr>
          <w:noProof/>
        </w:rPr>
        <w:pict w14:anchorId="06971187">
          <v:rect id="_x0000_i1026" alt="" style="width:468pt;height:.05pt;mso-width-percent:0;mso-height-percent:0;mso-width-percent:0;mso-height-percent:0" o:hralign="center" o:hrstd="t" o:hr="t" fillcolor="#a0a0a0" stroked="f"/>
        </w:pict>
      </w:r>
    </w:p>
    <w:p w14:paraId="4586B468" w14:textId="77777777" w:rsidR="008E2A01" w:rsidRDefault="008E2A01" w:rsidP="008E2A01">
      <w:r>
        <w:rPr>
          <w:u w:val="single"/>
        </w:rPr>
        <w:t>Abstract</w:t>
      </w:r>
      <w:r>
        <w:t xml:space="preserve">: </w:t>
      </w:r>
      <w:r w:rsidR="0024298C">
        <w:t xml:space="preserve">I argue that </w:t>
      </w:r>
      <w:r w:rsidR="00B728D0">
        <w:t xml:space="preserve">Sarah Sawyer’s and Herman </w:t>
      </w:r>
      <w:proofErr w:type="spellStart"/>
      <w:r w:rsidR="00B728D0">
        <w:t>Cappelen’s</w:t>
      </w:r>
      <w:proofErr w:type="spellEnd"/>
      <w:r w:rsidR="00B728D0">
        <w:t xml:space="preserve"> r</w:t>
      </w:r>
      <w:r>
        <w:t xml:space="preserve">ecent </w:t>
      </w:r>
      <w:r w:rsidR="0079047D">
        <w:t>accounts</w:t>
      </w:r>
      <w:r w:rsidR="00F60625">
        <w:t xml:space="preserve"> </w:t>
      </w:r>
      <w:r w:rsidR="0079047D">
        <w:t>of</w:t>
      </w:r>
      <w:r>
        <w:t xml:space="preserve"> how speakers talk and think about the same concept or </w:t>
      </w:r>
      <w:r w:rsidR="00AF603B">
        <w:t>topic</w:t>
      </w:r>
      <w:r>
        <w:t xml:space="preserve"> even when their understanding</w:t>
      </w:r>
      <w:r w:rsidR="00F60625">
        <w:t>s</w:t>
      </w:r>
      <w:r>
        <w:t xml:space="preserve"> of th</w:t>
      </w:r>
      <w:r w:rsidR="0002321B">
        <w:t>at</w:t>
      </w:r>
      <w:r>
        <w:t xml:space="preserve"> concept or </w:t>
      </w:r>
      <w:r w:rsidR="00B728D0">
        <w:t>topic</w:t>
      </w:r>
      <w:r w:rsidR="00F60625">
        <w:t xml:space="preserve"> substantially diverge</w:t>
      </w:r>
      <w:r>
        <w:t xml:space="preserve"> risk</w:t>
      </w:r>
      <w:r w:rsidR="008A0888">
        <w:t xml:space="preserve"> multiplying our </w:t>
      </w:r>
      <w:proofErr w:type="spellStart"/>
      <w:r w:rsidR="008A0888">
        <w:t>metasemantic</w:t>
      </w:r>
      <w:proofErr w:type="spellEnd"/>
      <w:r w:rsidR="008A0888">
        <w:t xml:space="preserve"> categories</w:t>
      </w:r>
      <w:r w:rsidR="00492233">
        <w:t xml:space="preserve"> unnecessarily</w:t>
      </w:r>
      <w:r w:rsidR="00A43AC9">
        <w:t xml:space="preserve"> and </w:t>
      </w:r>
      <w:r w:rsidR="0002321B">
        <w:t>fail to</w:t>
      </w:r>
      <w:r w:rsidR="00722FBE">
        <w:t xml:space="preserve"> prove</w:t>
      </w:r>
      <w:r w:rsidR="0002321B">
        <w:t xml:space="preserve"> </w:t>
      </w:r>
      <w:r w:rsidR="00A43AC9">
        <w:t>explanatory</w:t>
      </w:r>
      <w:r>
        <w:t xml:space="preserve">. </w:t>
      </w:r>
      <w:r w:rsidR="0079047D">
        <w:t>When we</w:t>
      </w:r>
      <w:r>
        <w:t xml:space="preserve"> look more closely at our actual practices o</w:t>
      </w:r>
      <w:r w:rsidR="0079047D">
        <w:t xml:space="preserve">f </w:t>
      </w:r>
      <w:proofErr w:type="spellStart"/>
      <w:r w:rsidR="0079047D">
        <w:t>samesaying</w:t>
      </w:r>
      <w:proofErr w:type="spellEnd"/>
      <w:r w:rsidR="0079047D">
        <w:t>,</w:t>
      </w:r>
      <w:r>
        <w:t xml:space="preserve"> we find that speakers with seemingly incompatible formulations of a subject matter take one another to </w:t>
      </w:r>
      <w:proofErr w:type="spellStart"/>
      <w:r>
        <w:t>samesay</w:t>
      </w:r>
      <w:proofErr w:type="spellEnd"/>
      <w:r>
        <w:t xml:space="preserve"> when they are attempting to arrive at a </w:t>
      </w:r>
      <w:r w:rsidRPr="000D4165">
        <w:rPr>
          <w:i/>
        </w:rPr>
        <w:t>correct</w:t>
      </w:r>
      <w:r>
        <w:t xml:space="preserve"> understanding of that subject matter. These speakers </w:t>
      </w:r>
      <w:r w:rsidR="0079047D">
        <w:t>adopt</w:t>
      </w:r>
      <w:r>
        <w:t xml:space="preserve"> what I call a </w:t>
      </w:r>
      <w:r>
        <w:rPr>
          <w:i/>
        </w:rPr>
        <w:t>prospective externalist</w:t>
      </w:r>
      <w:r>
        <w:t xml:space="preserve"> perspective on the subject matter in question. I then argue that once we appreciate the way that a speaker’s perspective (and attendant practices) impact judgments of </w:t>
      </w:r>
      <w:proofErr w:type="spellStart"/>
      <w:r>
        <w:t>samesaying</w:t>
      </w:r>
      <w:proofErr w:type="spellEnd"/>
      <w:r>
        <w:t xml:space="preserve">, we find that there are other perspectives a speaker can occupy that will in turn yield different verdicts on questions of conceptual change. In particular, there are contexts where judgments of </w:t>
      </w:r>
      <w:proofErr w:type="spellStart"/>
      <w:r>
        <w:t>samesaying</w:t>
      </w:r>
      <w:proofErr w:type="spellEnd"/>
      <w:r>
        <w:t xml:space="preserve"> are more routinely defeated because speakers are taking up a perspective </w:t>
      </w:r>
      <w:r w:rsidR="0079047D">
        <w:t>I</w:t>
      </w:r>
      <w:r>
        <w:t xml:space="preserve"> call </w:t>
      </w:r>
      <w:r>
        <w:rPr>
          <w:i/>
        </w:rPr>
        <w:t xml:space="preserve">retrospective </w:t>
      </w:r>
      <w:proofErr w:type="spellStart"/>
      <w:r>
        <w:rPr>
          <w:i/>
        </w:rPr>
        <w:t>internalism</w:t>
      </w:r>
      <w:proofErr w:type="spellEnd"/>
      <w:r>
        <w:t xml:space="preserve">. From this perspective, speakers are aiming to render maximally intelligible the linguistic behavior of other speakers that appear to them to deviate from their own. Whether or not we count speakers as </w:t>
      </w:r>
      <w:proofErr w:type="spellStart"/>
      <w:r>
        <w:t>samesaying</w:t>
      </w:r>
      <w:proofErr w:type="spellEnd"/>
      <w:r>
        <w:t xml:space="preserve"> with us will therefore depend on the kind of the perspective we </w:t>
      </w:r>
      <w:r w:rsidR="0079047D">
        <w:t>adopt</w:t>
      </w:r>
      <w:r>
        <w:t>. Different perspectives, it will turn out, often yield different verdicts. On the perspective-based approach I recommend, there is no need to hypostatize or infla</w:t>
      </w:r>
      <w:r w:rsidR="00F60625">
        <w:t xml:space="preserve">te our </w:t>
      </w:r>
      <w:proofErr w:type="spellStart"/>
      <w:r w:rsidR="00F60625">
        <w:t>metasemantic</w:t>
      </w:r>
      <w:proofErr w:type="spellEnd"/>
      <w:r w:rsidR="00F60625">
        <w:t xml:space="preserve"> taxonomies.</w:t>
      </w:r>
    </w:p>
    <w:p w14:paraId="5BC3DB1D" w14:textId="77777777" w:rsidR="008E2A01" w:rsidRDefault="00AC7BE2">
      <w:r>
        <w:rPr>
          <w:noProof/>
        </w:rPr>
        <w:pict w14:anchorId="3E3DFBD9">
          <v:rect id="_x0000_i1025" alt="" style="width:468pt;height:.05pt;mso-width-percent:0;mso-height-percent:0;mso-width-percent:0;mso-height-percent:0" o:hralign="center" o:hrstd="t" o:hr="t" fillcolor="#a0a0a0" stroked="f"/>
        </w:pict>
      </w:r>
    </w:p>
    <w:p w14:paraId="03B9BF81" w14:textId="77777777" w:rsidR="008E2A01" w:rsidRDefault="008E2A01"/>
    <w:p w14:paraId="07F474C9" w14:textId="77777777" w:rsidR="00494DFE" w:rsidRDefault="00195576" w:rsidP="00F54D6D">
      <w:pPr>
        <w:ind w:firstLine="720"/>
      </w:pPr>
      <w:r>
        <w:t>Ever since the publication of</w:t>
      </w:r>
      <w:r w:rsidR="001D08E8">
        <w:t xml:space="preserve"> Thomas Kuhn’s </w:t>
      </w:r>
      <w:r w:rsidR="001D08E8">
        <w:rPr>
          <w:i/>
        </w:rPr>
        <w:t>The Structure of Scientific Revolution</w:t>
      </w:r>
      <w:r w:rsidR="00EC3C67">
        <w:rPr>
          <w:i/>
        </w:rPr>
        <w:t>s</w:t>
      </w:r>
      <w:r w:rsidR="00EC3C67">
        <w:t xml:space="preserve">, philosophers </w:t>
      </w:r>
      <w:r w:rsidR="00F5431A">
        <w:t xml:space="preserve">have </w:t>
      </w:r>
      <w:r w:rsidR="00D7499C">
        <w:t>wrestled</w:t>
      </w:r>
      <w:r w:rsidR="009A2922">
        <w:t xml:space="preserve"> with the puzzle of co</w:t>
      </w:r>
      <w:r w:rsidR="00D7499C">
        <w:t>nceptual change. A central</w:t>
      </w:r>
      <w:r w:rsidR="00F5431A">
        <w:t xml:space="preserve"> concern</w:t>
      </w:r>
      <w:r w:rsidR="00461120">
        <w:t xml:space="preserve"> of the subsequent literature</w:t>
      </w:r>
      <w:r w:rsidR="00F5431A">
        <w:t xml:space="preserve"> is</w:t>
      </w:r>
      <w:r w:rsidR="009A2922">
        <w:t xml:space="preserve"> that </w:t>
      </w:r>
      <w:r w:rsidR="00F5431A">
        <w:t>if Kuhn is</w:t>
      </w:r>
      <w:r w:rsidR="009A2922">
        <w:t xml:space="preserve"> right that </w:t>
      </w:r>
      <w:r w:rsidR="00D7499C">
        <w:t>scientific revolutions</w:t>
      </w:r>
      <w:r w:rsidR="00F5431A">
        <w:t xml:space="preserve"> do</w:t>
      </w:r>
      <w:r w:rsidR="009A2922">
        <w:t xml:space="preserve"> not simply revise</w:t>
      </w:r>
      <w:r w:rsidR="00D7499C">
        <w:t>,</w:t>
      </w:r>
      <w:r w:rsidR="00F5431A">
        <w:t xml:space="preserve"> but fundamentally change</w:t>
      </w:r>
      <w:r w:rsidR="009A2922">
        <w:t xml:space="preserve"> the concepts utilized by a communi</w:t>
      </w:r>
      <w:r w:rsidR="00494DFE">
        <w:t>ty of researchers, then we can</w:t>
      </w:r>
      <w:r w:rsidR="009A2922">
        <w:t>not say that th</w:t>
      </w:r>
      <w:r w:rsidR="00F5431A">
        <w:t>e post-revolutionary concepts a</w:t>
      </w:r>
      <w:r w:rsidR="009A2922">
        <w:t xml:space="preserve">re </w:t>
      </w:r>
      <w:r w:rsidR="00D7499C">
        <w:t xml:space="preserve">in </w:t>
      </w:r>
      <w:r w:rsidR="009A2922">
        <w:t>an</w:t>
      </w:r>
      <w:r w:rsidR="00D7499C">
        <w:t>y</w:t>
      </w:r>
      <w:r w:rsidR="009A2922">
        <w:t xml:space="preserve"> </w:t>
      </w:r>
      <w:r w:rsidR="00D7499C">
        <w:t xml:space="preserve">way an </w:t>
      </w:r>
      <w:r w:rsidR="009A2922">
        <w:t>“improvement” on the pre-revol</w:t>
      </w:r>
      <w:r w:rsidR="00D7499C">
        <w:t>utionary concepts.</w:t>
      </w:r>
      <w:r w:rsidR="00823407">
        <w:rPr>
          <w:rStyle w:val="FootnoteReference"/>
        </w:rPr>
        <w:footnoteReference w:id="1"/>
      </w:r>
      <w:r w:rsidR="00D7499C">
        <w:t xml:space="preserve"> In fact, we c</w:t>
      </w:r>
      <w:r w:rsidR="00494DFE">
        <w:t>an</w:t>
      </w:r>
      <w:r w:rsidR="009A2922">
        <w:t xml:space="preserve">not even </w:t>
      </w:r>
      <w:r w:rsidR="00494DFE">
        <w:t>say that the community i</w:t>
      </w:r>
      <w:r w:rsidR="009A2922">
        <w:t>s utilizing the same concepts before and after th</w:t>
      </w:r>
      <w:r w:rsidR="00494DFE">
        <w:t>e revolutionary episode; they a</w:t>
      </w:r>
      <w:r w:rsidR="009A2922">
        <w:t>re simply utilizing diffe</w:t>
      </w:r>
      <w:r w:rsidR="00D7499C">
        <w:t>rent concepts that</w:t>
      </w:r>
      <w:r w:rsidR="00E8521D">
        <w:t>,</w:t>
      </w:r>
      <w:r w:rsidR="00D7499C">
        <w:t xml:space="preserve"> </w:t>
      </w:r>
      <w:r w:rsidR="0051219D">
        <w:t xml:space="preserve">while they </w:t>
      </w:r>
      <w:r w:rsidR="00D7499C">
        <w:t>may be expressed by the same word strings</w:t>
      </w:r>
      <w:r w:rsidR="00E8521D">
        <w:t xml:space="preserve">, </w:t>
      </w:r>
      <w:r w:rsidR="00637F78">
        <w:t xml:space="preserve">nonetheless correspond </w:t>
      </w:r>
      <w:r w:rsidR="005D0ADA">
        <w:t>to</w:t>
      </w:r>
      <w:r w:rsidR="00D7499C">
        <w:t xml:space="preserve"> fundamentally different content</w:t>
      </w:r>
      <w:r w:rsidR="009A2922">
        <w:t xml:space="preserve">. </w:t>
      </w:r>
      <w:r>
        <w:t xml:space="preserve">In turn, it seems </w:t>
      </w:r>
      <w:r w:rsidR="00D7499C">
        <w:t>Kuhn’s account of conceptual change</w:t>
      </w:r>
      <w:r>
        <w:t xml:space="preserve"> </w:t>
      </w:r>
      <w:r w:rsidR="00D7499C">
        <w:t xml:space="preserve">gives rise to an unacceptable relativism, where </w:t>
      </w:r>
      <w:r w:rsidR="0051219D">
        <w:t>important</w:t>
      </w:r>
      <w:r w:rsidR="00E8521D">
        <w:t xml:space="preserve"> changes in how we understan</w:t>
      </w:r>
      <w:r w:rsidR="007C1C78">
        <w:t xml:space="preserve">d concepts </w:t>
      </w:r>
      <w:r w:rsidR="0051219D">
        <w:t xml:space="preserve">generate </w:t>
      </w:r>
      <w:r w:rsidR="007C1C78">
        <w:t xml:space="preserve">incommensurable linguistic </w:t>
      </w:r>
      <w:r w:rsidR="00494DFE">
        <w:t xml:space="preserve">communities that </w:t>
      </w:r>
      <w:r w:rsidR="0084687C">
        <w:t>cannot</w:t>
      </w:r>
      <w:r w:rsidR="00E8521D">
        <w:t xml:space="preserve"> </w:t>
      </w:r>
      <w:r w:rsidR="0084687C">
        <w:t>genuinely disagree or even communicate with one another</w:t>
      </w:r>
      <w:r w:rsidR="00E8521D">
        <w:t>.</w:t>
      </w:r>
    </w:p>
    <w:p w14:paraId="4830E9FB" w14:textId="77777777" w:rsidR="00B7212A" w:rsidRDefault="00E8521D" w:rsidP="00B7212A">
      <w:r>
        <w:tab/>
      </w:r>
      <w:r w:rsidR="00A27647">
        <w:t>An emerging</w:t>
      </w:r>
      <w:r w:rsidR="00637F78">
        <w:t xml:space="preserve"> interest </w:t>
      </w:r>
      <w:r w:rsidR="00C842CE">
        <w:t xml:space="preserve">among philosophers in </w:t>
      </w:r>
      <w:r w:rsidR="00637F78">
        <w:t>conceptual engineering</w:t>
      </w:r>
      <w:r w:rsidR="00494DFE">
        <w:t xml:space="preserve"> </w:t>
      </w:r>
      <w:r w:rsidR="00637F78">
        <w:t xml:space="preserve">has led to novel proposals for </w:t>
      </w:r>
      <w:r w:rsidR="00494DFE">
        <w:t>addressing</w:t>
      </w:r>
      <w:r w:rsidR="00637F78">
        <w:t xml:space="preserve"> </w:t>
      </w:r>
      <w:r w:rsidR="0086676D">
        <w:t xml:space="preserve">the question of </w:t>
      </w:r>
      <w:r w:rsidR="00637F78">
        <w:t>how speakers can co</w:t>
      </w:r>
      <w:r w:rsidR="00494DFE">
        <w:t xml:space="preserve">ntinue to talk and think about the same </w:t>
      </w:r>
      <w:r w:rsidR="00637F78">
        <w:t>subject matter even w</w:t>
      </w:r>
      <w:r w:rsidR="0035210F">
        <w:t>hen their understandings of that</w:t>
      </w:r>
      <w:r w:rsidR="00637F78">
        <w:t xml:space="preserve"> subject matter substantially diverge. </w:t>
      </w:r>
      <w:r w:rsidR="00494DFE">
        <w:t xml:space="preserve">Herman </w:t>
      </w:r>
      <w:proofErr w:type="spellStart"/>
      <w:r w:rsidR="00494DFE">
        <w:t>Cappelen</w:t>
      </w:r>
      <w:proofErr w:type="spellEnd"/>
      <w:r w:rsidR="00494DFE">
        <w:t xml:space="preserve"> (2018) and Sarah Sawyer (2018) have </w:t>
      </w:r>
      <w:r w:rsidR="00F33C35">
        <w:t>both recently offered</w:t>
      </w:r>
      <w:r w:rsidR="00B7212A">
        <w:t xml:space="preserve"> </w:t>
      </w:r>
      <w:r w:rsidR="00195576">
        <w:t xml:space="preserve">accounts of how speakers manage to </w:t>
      </w:r>
      <w:proofErr w:type="spellStart"/>
      <w:r w:rsidR="00195576">
        <w:t>samesay</w:t>
      </w:r>
      <w:proofErr w:type="spellEnd"/>
      <w:r w:rsidR="00195576">
        <w:t xml:space="preserve"> – to talk and think about the same subject matter – in such cases. </w:t>
      </w:r>
      <w:proofErr w:type="spellStart"/>
      <w:r w:rsidR="00195576">
        <w:lastRenderedPageBreak/>
        <w:t>Cappelen</w:t>
      </w:r>
      <w:proofErr w:type="spellEnd"/>
      <w:r w:rsidR="00195576">
        <w:t xml:space="preserve"> argues that we </w:t>
      </w:r>
      <w:r w:rsidR="00AD29EF">
        <w:t>should</w:t>
      </w:r>
      <w:r w:rsidR="00195576">
        <w:t xml:space="preserve"> introduce the </w:t>
      </w:r>
      <w:r w:rsidR="00706C57">
        <w:t>category</w:t>
      </w:r>
      <w:r w:rsidR="00195576">
        <w:t xml:space="preserve"> of a “topic”</w:t>
      </w:r>
      <w:r w:rsidR="00B7212A">
        <w:t xml:space="preserve"> that is</w:t>
      </w:r>
      <w:r w:rsidR="000708DF">
        <w:t xml:space="preserve"> </w:t>
      </w:r>
      <w:r w:rsidR="00195576">
        <w:t xml:space="preserve">more coarse-grained than the intensions and extensions </w:t>
      </w:r>
      <w:r w:rsidR="003F253C">
        <w:t>speakers associate</w:t>
      </w:r>
      <w:r w:rsidR="00195576">
        <w:t xml:space="preserve"> with a particular term. </w:t>
      </w:r>
      <w:r w:rsidR="0035210F">
        <w:t xml:space="preserve">Because of their more </w:t>
      </w:r>
      <w:r w:rsidR="00251E1C">
        <w:t>coarse-grained</w:t>
      </w:r>
      <w:r w:rsidR="00B7212A">
        <w:t>, capacious</w:t>
      </w:r>
      <w:r w:rsidR="00A27647">
        <w:t xml:space="preserve"> nature, topic</w:t>
      </w:r>
      <w:r w:rsidR="00ED2A57">
        <w:t>s allow</w:t>
      </w:r>
      <w:r w:rsidR="0035210F">
        <w:t xml:space="preserve"> s</w:t>
      </w:r>
      <w:r w:rsidR="00190AA6">
        <w:t xml:space="preserve">peakers </w:t>
      </w:r>
      <w:r w:rsidR="0035210F">
        <w:t>to count as</w:t>
      </w:r>
      <w:r w:rsidR="00252D95">
        <w:t xml:space="preserve"> talking and thinking about the same thing (the same topic)</w:t>
      </w:r>
      <w:r w:rsidR="00F52C18">
        <w:t xml:space="preserve"> across differences in associated</w:t>
      </w:r>
      <w:r w:rsidR="00190AA6">
        <w:t xml:space="preserve"> intensions and extensions. Sawyer </w:t>
      </w:r>
      <w:r w:rsidR="00F01767">
        <w:t xml:space="preserve">argues that </w:t>
      </w:r>
      <w:r w:rsidR="001647B1">
        <w:t>we should clearly distinguish between the linguistic meaning of a term and the concept expressed by that term, where a “concept”, as Sawyer understands it, can remain the same even if speakers associate differe</w:t>
      </w:r>
      <w:r w:rsidR="00C44326">
        <w:t>nt linguistic meanings with that concept</w:t>
      </w:r>
      <w:r w:rsidR="00251E1C">
        <w:t xml:space="preserve">. </w:t>
      </w:r>
      <w:r w:rsidR="00F33C35">
        <w:t>Concepts in Sawyer’s sense provide</w:t>
      </w:r>
      <w:r w:rsidR="00B7212A">
        <w:t xml:space="preserve"> </w:t>
      </w:r>
      <w:r w:rsidR="008800D8">
        <w:t xml:space="preserve">the needed </w:t>
      </w:r>
      <w:proofErr w:type="spellStart"/>
      <w:r w:rsidR="008800D8">
        <w:t>metasemantic</w:t>
      </w:r>
      <w:proofErr w:type="spellEnd"/>
      <w:r w:rsidR="008800D8">
        <w:t xml:space="preserve"> </w:t>
      </w:r>
      <w:r w:rsidR="004D366F">
        <w:t>defense</w:t>
      </w:r>
      <w:r w:rsidR="008800D8">
        <w:t xml:space="preserve"> </w:t>
      </w:r>
      <w:r w:rsidR="004D366F">
        <w:t>against</w:t>
      </w:r>
      <w:r w:rsidR="008800D8">
        <w:t xml:space="preserve"> the “</w:t>
      </w:r>
      <w:r w:rsidR="00B7212A">
        <w:t>kind of incommensurability that Kuhn</w:t>
      </w:r>
      <w:r w:rsidR="00C842CE">
        <w:t>…</w:t>
      </w:r>
      <w:r w:rsidR="00B7212A">
        <w:t xml:space="preserve">thought plagued theory change, and </w:t>
      </w:r>
      <w:r w:rsidR="0046326F">
        <w:t xml:space="preserve">[that] </w:t>
      </w:r>
      <w:r w:rsidR="00B7212A">
        <w:t>entails an unacceptable relativism”</w:t>
      </w:r>
      <w:r w:rsidR="008800D8">
        <w:t xml:space="preserve"> </w:t>
      </w:r>
      <w:r w:rsidR="00B7212A">
        <w:t>(</w:t>
      </w:r>
      <w:r w:rsidR="008800D8">
        <w:t xml:space="preserve">Sawyer 2018, </w:t>
      </w:r>
      <w:r w:rsidR="00B7212A">
        <w:t>141)</w:t>
      </w:r>
      <w:r w:rsidR="008800D8">
        <w:t>.</w:t>
      </w:r>
    </w:p>
    <w:p w14:paraId="178D2D69" w14:textId="77777777" w:rsidR="0046326F" w:rsidRDefault="00A35707" w:rsidP="0046326F">
      <w:r>
        <w:tab/>
      </w:r>
      <w:r w:rsidR="001877CF">
        <w:t>But wh</w:t>
      </w:r>
      <w:r w:rsidR="008772BE">
        <w:t>at</w:t>
      </w:r>
      <w:r w:rsidR="001877CF">
        <w:t xml:space="preserve"> are “topics” and “concepts”</w:t>
      </w:r>
      <w:r w:rsidR="00D94CBF">
        <w:t xml:space="preserve"> exactly?</w:t>
      </w:r>
      <w:r w:rsidR="00B107AC">
        <w:t xml:space="preserve"> </w:t>
      </w:r>
      <w:r w:rsidR="00C75248">
        <w:t xml:space="preserve">A first concern here </w:t>
      </w:r>
      <w:r w:rsidR="00B107AC">
        <w:t>is</w:t>
      </w:r>
      <w:r w:rsidR="00C75248">
        <w:t xml:space="preserve"> that </w:t>
      </w:r>
      <w:proofErr w:type="spellStart"/>
      <w:r w:rsidR="00C75248">
        <w:t>Cappelen</w:t>
      </w:r>
      <w:proofErr w:type="spellEnd"/>
      <w:r w:rsidR="00C75248">
        <w:t xml:space="preserve"> and Sawyer’s </w:t>
      </w:r>
      <w:r w:rsidR="00A925DA">
        <w:t xml:space="preserve">accounts </w:t>
      </w:r>
      <w:r w:rsidR="00B84AEC">
        <w:t>are unnecessarily</w:t>
      </w:r>
      <w:r w:rsidR="00C75248">
        <w:t xml:space="preserve"> inflationary: we should only posit additional </w:t>
      </w:r>
      <w:r w:rsidR="00856F3F">
        <w:t xml:space="preserve">theoretical </w:t>
      </w:r>
      <w:r w:rsidR="00706C57">
        <w:t xml:space="preserve">categories </w:t>
      </w:r>
      <w:r w:rsidR="00C75248">
        <w:t>where w</w:t>
      </w:r>
      <w:r w:rsidR="008B3A2D">
        <w:t xml:space="preserve">e have very good and independent reason to do so, not as a </w:t>
      </w:r>
      <w:proofErr w:type="spellStart"/>
      <w:r w:rsidR="008B3A2D">
        <w:rPr>
          <w:i/>
        </w:rPr>
        <w:t>deus</w:t>
      </w:r>
      <w:proofErr w:type="spellEnd"/>
      <w:r w:rsidR="008B3A2D">
        <w:rPr>
          <w:i/>
        </w:rPr>
        <w:t xml:space="preserve"> ex </w:t>
      </w:r>
      <w:proofErr w:type="spellStart"/>
      <w:r w:rsidR="008B3A2D">
        <w:rPr>
          <w:i/>
        </w:rPr>
        <w:t>machina</w:t>
      </w:r>
      <w:proofErr w:type="spellEnd"/>
      <w:r w:rsidR="008B3A2D">
        <w:rPr>
          <w:i/>
        </w:rPr>
        <w:t xml:space="preserve"> </w:t>
      </w:r>
      <w:r w:rsidR="008B3A2D">
        <w:t xml:space="preserve">to solve difficult philosophical questions. </w:t>
      </w:r>
      <w:r w:rsidR="00C842CE">
        <w:t xml:space="preserve">Similarly, we might worry </w:t>
      </w:r>
      <w:r w:rsidR="008B3A2D">
        <w:t xml:space="preserve">that </w:t>
      </w:r>
      <w:proofErr w:type="spellStart"/>
      <w:r w:rsidR="008B3A2D">
        <w:t>Cappelen</w:t>
      </w:r>
      <w:proofErr w:type="spellEnd"/>
      <w:r w:rsidR="008B3A2D">
        <w:t xml:space="preserve"> and Sawyer’s notions of topics and concepts</w:t>
      </w:r>
      <w:r w:rsidR="0086676D">
        <w:t xml:space="preserve"> risk </w:t>
      </w:r>
      <w:r w:rsidR="00A27647">
        <w:t xml:space="preserve">being </w:t>
      </w:r>
      <w:r w:rsidR="0086676D">
        <w:t>explanator</w:t>
      </w:r>
      <w:r w:rsidR="00A27647">
        <w:t>il</w:t>
      </w:r>
      <w:r w:rsidR="008B3A2D">
        <w:t>y</w:t>
      </w:r>
      <w:r w:rsidR="00A27647">
        <w:t xml:space="preserve"> vacuous</w:t>
      </w:r>
      <w:r w:rsidR="008B3A2D">
        <w:t>.</w:t>
      </w:r>
      <w:r w:rsidR="000209D3">
        <w:t xml:space="preserve"> We cannot simply introduce further </w:t>
      </w:r>
      <w:proofErr w:type="spellStart"/>
      <w:r w:rsidR="000209D3">
        <w:t>metasemantic</w:t>
      </w:r>
      <w:proofErr w:type="spellEnd"/>
      <w:r w:rsidR="000209D3">
        <w:t xml:space="preserve"> categories (as </w:t>
      </w:r>
      <w:proofErr w:type="spellStart"/>
      <w:r w:rsidR="000209D3">
        <w:t>Cappelen</w:t>
      </w:r>
      <w:proofErr w:type="spellEnd"/>
      <w:r w:rsidR="000209D3">
        <w:t xml:space="preserve"> does), or re-sort them (as Sawyer does)</w:t>
      </w:r>
      <w:r w:rsidR="009E7DF9">
        <w:t xml:space="preserve">, and claim that this </w:t>
      </w:r>
      <w:r w:rsidR="0046326F">
        <w:t xml:space="preserve">act of </w:t>
      </w:r>
      <w:r w:rsidR="009E7DF9">
        <w:t>demarcati</w:t>
      </w:r>
      <w:r w:rsidR="0046326F">
        <w:t>ng</w:t>
      </w:r>
      <w:r w:rsidR="009E7DF9">
        <w:t xml:space="preserve"> categories itself </w:t>
      </w:r>
      <w:r w:rsidR="0046326F">
        <w:t>manages to solve</w:t>
      </w:r>
      <w:r w:rsidR="000209D3">
        <w:t xml:space="preserve"> the problem of </w:t>
      </w:r>
      <w:proofErr w:type="spellStart"/>
      <w:r w:rsidR="000209D3">
        <w:t>samesaying</w:t>
      </w:r>
      <w:proofErr w:type="spellEnd"/>
      <w:r w:rsidR="00A27647">
        <w:t xml:space="preserve"> across </w:t>
      </w:r>
      <w:r w:rsidR="00BF719C">
        <w:t>seemingly disparate</w:t>
      </w:r>
      <w:r w:rsidR="00A27647">
        <w:t xml:space="preserve"> understandings. It ne</w:t>
      </w:r>
      <w:r w:rsidR="0046326F">
        <w:t xml:space="preserve">eds to be explained </w:t>
      </w:r>
      <w:r w:rsidR="003F253C">
        <w:t xml:space="preserve">exactly </w:t>
      </w:r>
      <w:r w:rsidR="0046326F">
        <w:t xml:space="preserve">how </w:t>
      </w:r>
      <w:r w:rsidR="00A27647">
        <w:t>these further categories provide us with additional, unique insight for solving this problem</w:t>
      </w:r>
      <w:r w:rsidR="009E7DF9">
        <w:t xml:space="preserve"> – insight that we did not have prior to the introduction of these categories</w:t>
      </w:r>
      <w:r w:rsidR="0046326F">
        <w:t>.</w:t>
      </w:r>
      <w:r w:rsidR="00506B9F">
        <w:t xml:space="preserve"> </w:t>
      </w:r>
      <w:proofErr w:type="spellStart"/>
      <w:r w:rsidR="00506B9F">
        <w:t>Cappelen</w:t>
      </w:r>
      <w:proofErr w:type="spellEnd"/>
      <w:r w:rsidR="00506B9F">
        <w:t xml:space="preserve"> and Sawyer anticipate versions of this worry, but I do not think either ultimately escapes it. (I consider their replies below.)</w:t>
      </w:r>
    </w:p>
    <w:p w14:paraId="1E13C5DA" w14:textId="77777777" w:rsidR="006839CB" w:rsidRPr="00974040" w:rsidRDefault="00D81781" w:rsidP="0046326F">
      <w:pPr>
        <w:ind w:firstLine="720"/>
      </w:pPr>
      <w:r>
        <w:t xml:space="preserve">After considering </w:t>
      </w:r>
      <w:proofErr w:type="spellStart"/>
      <w:r>
        <w:t>Cappelen</w:t>
      </w:r>
      <w:proofErr w:type="spellEnd"/>
      <w:r>
        <w:t xml:space="preserve"> and Sawyer’s views in more detail in the first section of the paper, I will argue that </w:t>
      </w:r>
      <w:r w:rsidR="00B107AC">
        <w:t>there is a way to</w:t>
      </w:r>
      <w:r>
        <w:t xml:space="preserve"> capture what </w:t>
      </w:r>
      <w:r w:rsidR="00FF0055">
        <w:t>both</w:t>
      </w:r>
      <w:r>
        <w:t xml:space="preserve"> are after without </w:t>
      </w:r>
      <w:r w:rsidR="006839CB">
        <w:t xml:space="preserve">running any risk of </w:t>
      </w:r>
      <w:r w:rsidR="00D17B55">
        <w:t>unnecessarily multiplying</w:t>
      </w:r>
      <w:r w:rsidR="00CD78E7">
        <w:t xml:space="preserve"> </w:t>
      </w:r>
      <w:proofErr w:type="spellStart"/>
      <w:r w:rsidR="00CD78E7">
        <w:t>metasemantic</w:t>
      </w:r>
      <w:proofErr w:type="spellEnd"/>
      <w:r w:rsidR="00CD78E7">
        <w:t xml:space="preserve"> categories or introducing categories that are explanatorily vacuou</w:t>
      </w:r>
      <w:r w:rsidR="00092BB1">
        <w:t>s</w:t>
      </w:r>
      <w:r w:rsidR="00A27647">
        <w:t>.</w:t>
      </w:r>
      <w:r w:rsidR="006839CB">
        <w:t xml:space="preserve"> </w:t>
      </w:r>
      <w:r w:rsidR="00092BB1">
        <w:t xml:space="preserve">I will argue that rather than </w:t>
      </w:r>
      <w:r w:rsidR="008B3A3E">
        <w:t xml:space="preserve">positing additional categories to </w:t>
      </w:r>
      <w:r w:rsidR="006839CB">
        <w:t>ensure</w:t>
      </w:r>
      <w:r w:rsidR="008B3A3E">
        <w:t xml:space="preserve"> that speakers </w:t>
      </w:r>
      <w:r w:rsidR="006839CB">
        <w:t xml:space="preserve">count as </w:t>
      </w:r>
      <w:proofErr w:type="spellStart"/>
      <w:r w:rsidR="008B3A3E">
        <w:t>samesay</w:t>
      </w:r>
      <w:r w:rsidR="006839CB">
        <w:t>ing</w:t>
      </w:r>
      <w:proofErr w:type="spellEnd"/>
      <w:r w:rsidR="008B3A3E">
        <w:t xml:space="preserve">, we should look more closely at our </w:t>
      </w:r>
      <w:r w:rsidR="008A741F">
        <w:t xml:space="preserve">actual </w:t>
      </w:r>
      <w:r w:rsidR="008B3A3E">
        <w:t xml:space="preserve">practices of </w:t>
      </w:r>
      <w:proofErr w:type="spellStart"/>
      <w:r w:rsidR="008B3A3E">
        <w:t>samesaying</w:t>
      </w:r>
      <w:proofErr w:type="spellEnd"/>
      <w:r w:rsidR="008B3A3E">
        <w:t>.</w:t>
      </w:r>
      <w:r w:rsidR="008A741F">
        <w:t xml:space="preserve"> What we find, I argue, is that </w:t>
      </w:r>
      <w:r w:rsidR="00974040">
        <w:t>speakers with seemingly incompatible formulations of a subject matter</w:t>
      </w:r>
      <w:r w:rsidR="00706C57">
        <w:t xml:space="preserve"> take one another to </w:t>
      </w:r>
      <w:proofErr w:type="spellStart"/>
      <w:r w:rsidR="00706C57">
        <w:t>samesay</w:t>
      </w:r>
      <w:proofErr w:type="spellEnd"/>
      <w:r w:rsidR="00974040">
        <w:t xml:space="preserve"> when they </w:t>
      </w:r>
      <w:r w:rsidR="009B0C39">
        <w:t>are attempting</w:t>
      </w:r>
      <w:r w:rsidR="00974040">
        <w:t xml:space="preserve"> to arrive at a </w:t>
      </w:r>
      <w:r w:rsidR="00974040" w:rsidRPr="000D4165">
        <w:rPr>
          <w:i/>
        </w:rPr>
        <w:t>correct</w:t>
      </w:r>
      <w:r w:rsidR="00974040">
        <w:t xml:space="preserve"> understanding of that subject matter. These speakers are adopting what I</w:t>
      </w:r>
      <w:r w:rsidR="00706C57">
        <w:t xml:space="preserve"> will</w:t>
      </w:r>
      <w:r w:rsidR="00974040">
        <w:t xml:space="preserve"> call a </w:t>
      </w:r>
      <w:r w:rsidR="00974040">
        <w:rPr>
          <w:i/>
        </w:rPr>
        <w:t>prospective externalist</w:t>
      </w:r>
      <w:r w:rsidR="00974040">
        <w:t xml:space="preserve"> perspective on the subject matter in question. Because </w:t>
      </w:r>
      <w:r w:rsidR="00706C57">
        <w:t>speakers are</w:t>
      </w:r>
      <w:r w:rsidR="004760DB">
        <w:t xml:space="preserve"> taking</w:t>
      </w:r>
      <w:r w:rsidR="00974040">
        <w:t xml:space="preserve"> up the perspective of </w:t>
      </w:r>
      <w:r w:rsidR="000D4165">
        <w:t>trying</w:t>
      </w:r>
      <w:r w:rsidR="00974040">
        <w:t xml:space="preserve"> to </w:t>
      </w:r>
      <w:r w:rsidR="00D22552">
        <w:t>arrive at a correct understanding of this subject matter</w:t>
      </w:r>
      <w:r w:rsidR="004760DB">
        <w:t>, they</w:t>
      </w:r>
      <w:r w:rsidR="00974040">
        <w:t xml:space="preserve"> take other, conflicting formulations </w:t>
      </w:r>
      <w:r w:rsidR="00D64766">
        <w:t>to be concerned with this same</w:t>
      </w:r>
      <w:r w:rsidR="00974040">
        <w:t xml:space="preserve"> subject matter</w:t>
      </w:r>
      <w:r w:rsidR="009D1B67">
        <w:t>, rather than as evidence of</w:t>
      </w:r>
      <w:r w:rsidR="00543562">
        <w:t xml:space="preserve"> </w:t>
      </w:r>
      <w:r w:rsidR="00017456">
        <w:t xml:space="preserve">talking past </w:t>
      </w:r>
      <w:r w:rsidR="00D728F0">
        <w:t>the other speakers</w:t>
      </w:r>
      <w:r w:rsidR="00974040">
        <w:t>.</w:t>
      </w:r>
    </w:p>
    <w:p w14:paraId="7799F237" w14:textId="77777777" w:rsidR="00017456" w:rsidRDefault="00974040" w:rsidP="008546D9">
      <w:pPr>
        <w:ind w:firstLine="720"/>
      </w:pPr>
      <w:r>
        <w:t xml:space="preserve">In the </w:t>
      </w:r>
      <w:r w:rsidR="00D728F0">
        <w:t>third</w:t>
      </w:r>
      <w:r>
        <w:t xml:space="preserve"> section, I argue that once we </w:t>
      </w:r>
      <w:r w:rsidR="00706C57">
        <w:t>appreciate</w:t>
      </w:r>
      <w:r w:rsidR="00DD7030">
        <w:t xml:space="preserve"> </w:t>
      </w:r>
      <w:r w:rsidR="007B5ABC">
        <w:t xml:space="preserve">the way that </w:t>
      </w:r>
      <w:r>
        <w:t xml:space="preserve">a speaker’s perspective (and attendant practices) </w:t>
      </w:r>
      <w:r w:rsidR="00C7521D">
        <w:t xml:space="preserve">impact judgments of </w:t>
      </w:r>
      <w:proofErr w:type="spellStart"/>
      <w:r w:rsidR="00C7521D">
        <w:t>samesaying</w:t>
      </w:r>
      <w:proofErr w:type="spellEnd"/>
      <w:r w:rsidR="00C7521D">
        <w:t xml:space="preserve">, we </w:t>
      </w:r>
      <w:r>
        <w:t xml:space="preserve">discover that </w:t>
      </w:r>
      <w:r w:rsidR="00C7521D">
        <w:t xml:space="preserve">there </w:t>
      </w:r>
      <w:r>
        <w:t>are other perspectives a speaker</w:t>
      </w:r>
      <w:r w:rsidR="00472DF9">
        <w:t xml:space="preserve"> can occupy</w:t>
      </w:r>
      <w:r>
        <w:t xml:space="preserve"> that </w:t>
      </w:r>
      <w:r w:rsidR="00D64766">
        <w:t xml:space="preserve">will </w:t>
      </w:r>
      <w:r w:rsidR="00D22552">
        <w:t xml:space="preserve">in turn </w:t>
      </w:r>
      <w:r>
        <w:t>yield different verdicts on</w:t>
      </w:r>
      <w:r w:rsidR="00202BFD">
        <w:t xml:space="preserve"> questions of</w:t>
      </w:r>
      <w:r>
        <w:t xml:space="preserve"> </w:t>
      </w:r>
      <w:r w:rsidR="004760DB">
        <w:t>conceptual change</w:t>
      </w:r>
      <w:r>
        <w:t xml:space="preserve">. </w:t>
      </w:r>
      <w:r w:rsidR="00C7521D">
        <w:t xml:space="preserve">In particular, there are contexts where judgments of </w:t>
      </w:r>
      <w:proofErr w:type="spellStart"/>
      <w:r w:rsidR="00C7521D">
        <w:t>samesaying</w:t>
      </w:r>
      <w:proofErr w:type="spellEnd"/>
      <w:r w:rsidR="00C7521D">
        <w:t xml:space="preserve"> are more routinely defeated because speakers are taking up </w:t>
      </w:r>
      <w:r w:rsidR="00202BFD">
        <w:t xml:space="preserve">a </w:t>
      </w:r>
      <w:r w:rsidR="00C7521D">
        <w:t>perspective</w:t>
      </w:r>
      <w:r w:rsidR="004760DB">
        <w:t xml:space="preserve"> that I</w:t>
      </w:r>
      <w:r w:rsidR="00706C57">
        <w:t xml:space="preserve"> will</w:t>
      </w:r>
      <w:r w:rsidR="004760DB">
        <w:t xml:space="preserve"> call </w:t>
      </w:r>
      <w:r w:rsidR="00C7521D">
        <w:rPr>
          <w:i/>
        </w:rPr>
        <w:t xml:space="preserve">retrospective </w:t>
      </w:r>
      <w:proofErr w:type="spellStart"/>
      <w:r w:rsidR="00C7521D">
        <w:rPr>
          <w:i/>
        </w:rPr>
        <w:t>internalism</w:t>
      </w:r>
      <w:proofErr w:type="spellEnd"/>
      <w:r w:rsidR="00C7521D">
        <w:t xml:space="preserve">. </w:t>
      </w:r>
      <w:r w:rsidR="00D64766">
        <w:t>From this perspective,</w:t>
      </w:r>
      <w:r w:rsidR="00C7521D">
        <w:t xml:space="preserve"> speakers </w:t>
      </w:r>
      <w:r w:rsidR="001835B4">
        <w:t xml:space="preserve">are aiming to </w:t>
      </w:r>
      <w:r w:rsidR="0043044E">
        <w:t>render maximally intelligible the linguis</w:t>
      </w:r>
      <w:r>
        <w:t xml:space="preserve">tic behavior of other speakers that appear to </w:t>
      </w:r>
      <w:r w:rsidR="00DD7030">
        <w:t>them to deviate from their own</w:t>
      </w:r>
      <w:r>
        <w:t>.</w:t>
      </w:r>
      <w:r w:rsidR="00DD7030">
        <w:t xml:space="preserve"> In these contexts, speakers</w:t>
      </w:r>
      <w:r w:rsidR="00017456">
        <w:t xml:space="preserve"> are not </w:t>
      </w:r>
      <w:r w:rsidR="0043044E">
        <w:t>trying to get the</w:t>
      </w:r>
      <w:r w:rsidR="00017456">
        <w:t xml:space="preserve"> relevant</w:t>
      </w:r>
      <w:r w:rsidR="0043044E">
        <w:t xml:space="preserve"> subject matter correct</w:t>
      </w:r>
      <w:r w:rsidR="00DD7030">
        <w:t xml:space="preserve">; </w:t>
      </w:r>
      <w:r w:rsidR="00706C57">
        <w:t>they</w:t>
      </w:r>
      <w:r w:rsidR="0043044E">
        <w:t xml:space="preserve"> are trying to get </w:t>
      </w:r>
      <w:r w:rsidR="009532EB">
        <w:t>other</w:t>
      </w:r>
      <w:r w:rsidR="0043044E">
        <w:t xml:space="preserve"> speakers’ respective understandings of the subject matter correct.</w:t>
      </w:r>
      <w:r w:rsidR="00472DF9">
        <w:t xml:space="preserve"> </w:t>
      </w:r>
      <w:r w:rsidR="00D64766">
        <w:t>Speakers</w:t>
      </w:r>
      <w:r w:rsidR="009532EB">
        <w:t xml:space="preserve"> adopting this perspective</w:t>
      </w:r>
      <w:r w:rsidR="00706C57">
        <w:t xml:space="preserve"> are</w:t>
      </w:r>
      <w:r w:rsidR="009532EB">
        <w:t xml:space="preserve"> </w:t>
      </w:r>
      <w:r w:rsidR="00472DF9">
        <w:t>more likely to judge</w:t>
      </w:r>
      <w:r w:rsidR="009532EB">
        <w:t xml:space="preserve"> that</w:t>
      </w:r>
      <w:r w:rsidR="00AE07D4">
        <w:t xml:space="preserve"> they have acquired a novel or different concept </w:t>
      </w:r>
      <w:r w:rsidR="00706C57">
        <w:t xml:space="preserve">from their own because utilizing this novel or different concept allows them to make sense of these </w:t>
      </w:r>
      <w:r w:rsidR="00D64766">
        <w:t xml:space="preserve">other </w:t>
      </w:r>
      <w:r w:rsidR="00706C57">
        <w:t xml:space="preserve">speakers’ linguistic behavior. They are therefore </w:t>
      </w:r>
      <w:r w:rsidR="00706C57">
        <w:lastRenderedPageBreak/>
        <w:t xml:space="preserve">likely to judge that </w:t>
      </w:r>
      <w:r w:rsidR="008546D9">
        <w:t xml:space="preserve">they </w:t>
      </w:r>
      <w:r w:rsidR="009532EB">
        <w:t xml:space="preserve">are not </w:t>
      </w:r>
      <w:proofErr w:type="spellStart"/>
      <w:r w:rsidR="009532EB">
        <w:t>samesaying</w:t>
      </w:r>
      <w:proofErr w:type="spellEnd"/>
      <w:r w:rsidR="009532EB">
        <w:t xml:space="preserve"> with </w:t>
      </w:r>
      <w:r w:rsidR="00D22552">
        <w:t>the relevant</w:t>
      </w:r>
      <w:r w:rsidR="009532EB">
        <w:t xml:space="preserve"> other speakers, eve</w:t>
      </w:r>
      <w:r w:rsidR="008546D9">
        <w:t>n if they all express</w:t>
      </w:r>
      <w:r w:rsidR="009532EB">
        <w:t xml:space="preserve"> their concepts using the same word strings.</w:t>
      </w:r>
    </w:p>
    <w:p w14:paraId="67EE26C2" w14:textId="77777777" w:rsidR="00E1398A" w:rsidRDefault="00F33C35" w:rsidP="008E2A01">
      <w:pPr>
        <w:ind w:firstLine="720"/>
      </w:pPr>
      <w:r>
        <w:t>More</w:t>
      </w:r>
      <w:r w:rsidR="003F253C">
        <w:t xml:space="preserve"> generally,</w:t>
      </w:r>
      <w:r w:rsidR="00D22552">
        <w:t xml:space="preserve"> when </w:t>
      </w:r>
      <w:r w:rsidR="00FA3792">
        <w:t>we operate</w:t>
      </w:r>
      <w:r w:rsidR="00D22552">
        <w:t xml:space="preserve"> from</w:t>
      </w:r>
      <w:r w:rsidR="00D64766">
        <w:t xml:space="preserve"> within</w:t>
      </w:r>
      <w:r w:rsidR="001835B4">
        <w:t xml:space="preserve"> the </w:t>
      </w:r>
      <w:r w:rsidR="001835B4">
        <w:rPr>
          <w:i/>
        </w:rPr>
        <w:t>prospective</w:t>
      </w:r>
      <w:r w:rsidR="00472DF9">
        <w:rPr>
          <w:i/>
        </w:rPr>
        <w:t xml:space="preserve"> externalist</w:t>
      </w:r>
      <w:r w:rsidR="001835B4">
        <w:rPr>
          <w:i/>
        </w:rPr>
        <w:t xml:space="preserve"> </w:t>
      </w:r>
      <w:r w:rsidR="00D64766">
        <w:t>perspective</w:t>
      </w:r>
      <w:r w:rsidR="001835B4">
        <w:t xml:space="preserve">, </w:t>
      </w:r>
      <w:r w:rsidR="00FA3792">
        <w:t xml:space="preserve">even seemingly radical </w:t>
      </w:r>
      <w:r w:rsidR="001835B4">
        <w:t>differences</w:t>
      </w:r>
      <w:r w:rsidR="00FA3792">
        <w:t xml:space="preserve"> among speakers </w:t>
      </w:r>
      <w:r w:rsidR="001835B4">
        <w:t xml:space="preserve">recede and </w:t>
      </w:r>
      <w:r w:rsidR="00FA3792">
        <w:t>we</w:t>
      </w:r>
      <w:r w:rsidR="001835B4">
        <w:t xml:space="preserve"> </w:t>
      </w:r>
      <w:r w:rsidR="008546D9">
        <w:t>treat one another</w:t>
      </w:r>
      <w:r w:rsidR="001835B4">
        <w:t xml:space="preserve"> as all after the same subject matter</w:t>
      </w:r>
      <w:r w:rsidR="00D22552">
        <w:t xml:space="preserve">. But when </w:t>
      </w:r>
      <w:r w:rsidR="00FA3792">
        <w:t xml:space="preserve">we </w:t>
      </w:r>
      <w:r w:rsidR="00D22552">
        <w:t>adopt a</w:t>
      </w:r>
      <w:r w:rsidR="0043044E">
        <w:t xml:space="preserve"> </w:t>
      </w:r>
      <w:r w:rsidR="0043044E">
        <w:rPr>
          <w:i/>
        </w:rPr>
        <w:t>retrospective</w:t>
      </w:r>
      <w:r w:rsidR="00472DF9">
        <w:rPr>
          <w:i/>
        </w:rPr>
        <w:t xml:space="preserve"> internalist</w:t>
      </w:r>
      <w:r w:rsidR="0043044E">
        <w:rPr>
          <w:i/>
        </w:rPr>
        <w:t xml:space="preserve"> </w:t>
      </w:r>
      <w:r w:rsidR="00D64766">
        <w:t>perspective</w:t>
      </w:r>
      <w:r w:rsidR="0043044E">
        <w:t xml:space="preserve">, differences come to the fore and speakers </w:t>
      </w:r>
      <w:r w:rsidR="0068611B">
        <w:t>treat one another</w:t>
      </w:r>
      <w:r w:rsidR="0043044E">
        <w:t xml:space="preserve"> as </w:t>
      </w:r>
      <w:r w:rsidR="00706C57">
        <w:t>possessing fundamentally</w:t>
      </w:r>
      <w:r w:rsidR="00472DF9">
        <w:t xml:space="preserve"> different</w:t>
      </w:r>
      <w:r w:rsidR="00F14473">
        <w:t xml:space="preserve"> understandings</w:t>
      </w:r>
      <w:r w:rsidR="00706C57">
        <w:t xml:space="preserve"> or concepts that cannot be subsumed into an overarching subject matter</w:t>
      </w:r>
      <w:r w:rsidR="00F14473">
        <w:t xml:space="preserve">. Whether or not we count speakers as </w:t>
      </w:r>
      <w:proofErr w:type="spellStart"/>
      <w:r w:rsidR="00F14473">
        <w:t>samesaying</w:t>
      </w:r>
      <w:proofErr w:type="spellEnd"/>
      <w:r w:rsidR="0068611B">
        <w:t xml:space="preserve"> with us</w:t>
      </w:r>
      <w:r w:rsidR="00F14473">
        <w:t xml:space="preserve"> </w:t>
      </w:r>
      <w:r w:rsidR="00D64766">
        <w:t>will therefore depend</w:t>
      </w:r>
      <w:r w:rsidR="00F14473">
        <w:t xml:space="preserve"> on the kind of the </w:t>
      </w:r>
      <w:r w:rsidR="00472DF9">
        <w:t xml:space="preserve">perspective we are </w:t>
      </w:r>
      <w:r w:rsidR="009532EB">
        <w:t>adopting</w:t>
      </w:r>
      <w:r w:rsidR="00D22552">
        <w:t>. D</w:t>
      </w:r>
      <w:r w:rsidR="00D64766">
        <w:t>ifferent perspectives</w:t>
      </w:r>
      <w:r w:rsidR="00D22552">
        <w:t>, it will turn out,</w:t>
      </w:r>
      <w:r w:rsidR="00D64766">
        <w:t xml:space="preserve"> </w:t>
      </w:r>
      <w:r w:rsidR="008844E7">
        <w:t>often</w:t>
      </w:r>
      <w:r w:rsidR="0068611B">
        <w:t xml:space="preserve"> yield different verdicts.</w:t>
      </w:r>
      <w:r w:rsidR="00377533">
        <w:t xml:space="preserve"> </w:t>
      </w:r>
      <w:r w:rsidR="008723DD">
        <w:t xml:space="preserve">In the fourth and final section of the </w:t>
      </w:r>
      <w:r w:rsidR="009E1A51">
        <w:t>paper</w:t>
      </w:r>
      <w:r w:rsidR="008723DD">
        <w:t xml:space="preserve">, I </w:t>
      </w:r>
      <w:r w:rsidR="00014A41">
        <w:t>apply</w:t>
      </w:r>
      <w:r w:rsidR="008723DD">
        <w:t xml:space="preserve"> the perspectives I have outlined to two cases and demonstrate how they yield </w:t>
      </w:r>
      <w:r w:rsidR="009E1A51">
        <w:t xml:space="preserve">helpfully </w:t>
      </w:r>
      <w:r w:rsidR="008723DD">
        <w:t xml:space="preserve">different verdicts on whether conceptual change and </w:t>
      </w:r>
      <w:proofErr w:type="spellStart"/>
      <w:r w:rsidR="008723DD">
        <w:t>samesaying</w:t>
      </w:r>
      <w:proofErr w:type="spellEnd"/>
      <w:r w:rsidR="008723DD">
        <w:t xml:space="preserve"> obtain.</w:t>
      </w:r>
      <w:r w:rsidR="00D90AC5">
        <w:t xml:space="preserve"> </w:t>
      </w:r>
    </w:p>
    <w:p w14:paraId="3651C734" w14:textId="77777777" w:rsidR="00E1398A" w:rsidRDefault="00E1398A" w:rsidP="00583725"/>
    <w:p w14:paraId="7A53F0DA" w14:textId="77777777" w:rsidR="003E5848" w:rsidRDefault="00D20FEE" w:rsidP="003E5848">
      <w:pPr>
        <w:pStyle w:val="ListParagraph"/>
        <w:numPr>
          <w:ilvl w:val="0"/>
          <w:numId w:val="2"/>
        </w:numPr>
        <w:rPr>
          <w:b/>
          <w:i/>
        </w:rPr>
      </w:pPr>
      <w:r>
        <w:rPr>
          <w:b/>
          <w:i/>
        </w:rPr>
        <w:t xml:space="preserve">Sawyer’s concepts and </w:t>
      </w:r>
      <w:proofErr w:type="spellStart"/>
      <w:r>
        <w:rPr>
          <w:b/>
          <w:i/>
        </w:rPr>
        <w:t>Cappelen’s</w:t>
      </w:r>
      <w:proofErr w:type="spellEnd"/>
      <w:r>
        <w:rPr>
          <w:b/>
          <w:i/>
        </w:rPr>
        <w:t xml:space="preserve"> topics</w:t>
      </w:r>
    </w:p>
    <w:p w14:paraId="014BC8AB" w14:textId="77777777" w:rsidR="00583725" w:rsidRDefault="00583725" w:rsidP="00583725">
      <w:pPr>
        <w:ind w:firstLine="720"/>
      </w:pPr>
    </w:p>
    <w:p w14:paraId="535E0A22" w14:textId="77777777" w:rsidR="002642C6" w:rsidRDefault="00583725" w:rsidP="00583725">
      <w:pPr>
        <w:ind w:firstLine="720"/>
      </w:pPr>
      <w:r>
        <w:t>In this first section,</w:t>
      </w:r>
      <w:r w:rsidR="00A05AA6">
        <w:t xml:space="preserve"> I take a closer look at Sawyer’s </w:t>
      </w:r>
      <w:r>
        <w:t xml:space="preserve">and </w:t>
      </w:r>
      <w:proofErr w:type="spellStart"/>
      <w:r>
        <w:t>Cappelen’s</w:t>
      </w:r>
      <w:proofErr w:type="spellEnd"/>
      <w:r>
        <w:t xml:space="preserve"> views and explain the worries facing the</w:t>
      </w:r>
      <w:r w:rsidR="00E1398A">
        <w:t>m</w:t>
      </w:r>
      <w:r>
        <w:t>.</w:t>
      </w:r>
      <w:r w:rsidR="00167851">
        <w:t xml:space="preserve"> I turn first to Sawyer’s account. For Sawyer, </w:t>
      </w:r>
      <w:r w:rsidR="00FA4E9D">
        <w:t xml:space="preserve">linguistic meaning should be understood as </w:t>
      </w:r>
      <w:r w:rsidR="00CC5396">
        <w:t>corresponding to the use of a term within a particular community</w:t>
      </w:r>
      <w:r w:rsidR="0022164E">
        <w:t xml:space="preserve"> (2018</w:t>
      </w:r>
      <w:r w:rsidR="00C16A86">
        <w:t>, 130</w:t>
      </w:r>
      <w:r w:rsidR="0022164E">
        <w:t>)</w:t>
      </w:r>
      <w:r w:rsidR="00FA4E9D">
        <w:t xml:space="preserve">. Linguistic meaning therefore regularly changes </w:t>
      </w:r>
      <w:r w:rsidR="00D20541">
        <w:t xml:space="preserve">because our use of terms regularly changes. </w:t>
      </w:r>
      <w:r w:rsidR="00FC79B6">
        <w:t>S</w:t>
      </w:r>
      <w:r w:rsidR="00E432DF">
        <w:t>he</w:t>
      </w:r>
      <w:r w:rsidR="00FC79B6">
        <w:t xml:space="preserve"> explains that</w:t>
      </w:r>
      <w:r w:rsidR="00324C98">
        <w:t>, given this view,</w:t>
      </w:r>
      <w:r w:rsidR="00FC79B6">
        <w:t xml:space="preserve"> we</w:t>
      </w:r>
      <w:r w:rsidR="00D20541">
        <w:t xml:space="preserve"> should distinguish bet</w:t>
      </w:r>
      <w:r w:rsidR="00CC5396">
        <w:t>ween two types</w:t>
      </w:r>
      <w:r w:rsidR="00D20541">
        <w:t xml:space="preserve"> of meaning change. There are cases where the lingui</w:t>
      </w:r>
      <w:r w:rsidR="00FD47B8">
        <w:t>stic meaning of a term changes and,</w:t>
      </w:r>
      <w:r w:rsidR="002404A9">
        <w:t xml:space="preserve"> in turn</w:t>
      </w:r>
      <w:r w:rsidR="00FD47B8">
        <w:t>, we</w:t>
      </w:r>
      <w:r w:rsidR="002404A9">
        <w:t xml:space="preserve"> end up with a change in subject matter. For example, </w:t>
      </w:r>
      <w:r w:rsidR="00FC79B6">
        <w:t xml:space="preserve">the use of the term </w:t>
      </w:r>
      <w:r w:rsidR="00AC5955">
        <w:t>‘</w:t>
      </w:r>
      <w:r w:rsidR="002F4FF0">
        <w:t>bachelor</w:t>
      </w:r>
      <w:r w:rsidR="00AC5955">
        <w:t>’</w:t>
      </w:r>
      <w:r w:rsidR="00BE6F27">
        <w:t xml:space="preserve"> has changed enormously over time: it </w:t>
      </w:r>
      <w:r w:rsidR="00E432DF">
        <w:t xml:space="preserve">was </w:t>
      </w:r>
      <w:r w:rsidR="00E747FB">
        <w:t xml:space="preserve">once </w:t>
      </w:r>
      <w:r w:rsidR="00E432DF">
        <w:t>used</w:t>
      </w:r>
      <w:r w:rsidR="004902AA">
        <w:t xml:space="preserve"> by speakers</w:t>
      </w:r>
      <w:r w:rsidR="00E432DF">
        <w:t xml:space="preserve"> to mean</w:t>
      </w:r>
      <w:r w:rsidR="00BE6F27">
        <w:t xml:space="preserve"> </w:t>
      </w:r>
      <w:r w:rsidR="002F4FF0">
        <w:rPr>
          <w:i/>
        </w:rPr>
        <w:t>young knight</w:t>
      </w:r>
      <w:r w:rsidR="002F4FF0">
        <w:t>,</w:t>
      </w:r>
      <w:r w:rsidR="00BE6F27">
        <w:t xml:space="preserve"> whereas now it </w:t>
      </w:r>
      <w:r w:rsidR="00E432DF">
        <w:t xml:space="preserve">is used to mean </w:t>
      </w:r>
      <w:r w:rsidR="002F4FF0">
        <w:t xml:space="preserve">something </w:t>
      </w:r>
      <w:r w:rsidR="00CC5396">
        <w:t xml:space="preserve">closer to </w:t>
      </w:r>
      <w:r w:rsidR="00CC5396">
        <w:rPr>
          <w:i/>
        </w:rPr>
        <w:t>unmarried man</w:t>
      </w:r>
      <w:r w:rsidR="002F4FF0">
        <w:t xml:space="preserve">. </w:t>
      </w:r>
      <w:r w:rsidR="00AC4F6D">
        <w:t>Here</w:t>
      </w:r>
      <w:r w:rsidR="002F4FF0">
        <w:t xml:space="preserve"> we would say that the change of meaning was accompanied by a change in subject matter: we are simply not talking about the sam</w:t>
      </w:r>
      <w:r w:rsidR="00AC4F6D">
        <w:t xml:space="preserve">e thing as – we are not </w:t>
      </w:r>
      <w:proofErr w:type="spellStart"/>
      <w:r w:rsidR="00AC4F6D">
        <w:t>samesaying</w:t>
      </w:r>
      <w:proofErr w:type="spellEnd"/>
      <w:r w:rsidR="00AC4F6D">
        <w:t xml:space="preserve"> with – speakers who </w:t>
      </w:r>
      <w:r w:rsidR="00CC5396">
        <w:t>used</w:t>
      </w:r>
      <w:r w:rsidR="00E432DF">
        <w:t xml:space="preserve"> the term</w:t>
      </w:r>
      <w:r w:rsidR="00D22552">
        <w:t xml:space="preserve"> </w:t>
      </w:r>
      <w:r w:rsidR="00AC5955">
        <w:t>‘</w:t>
      </w:r>
      <w:r w:rsidR="00D22552">
        <w:t>bachelor</w:t>
      </w:r>
      <w:r w:rsidR="00AC5955">
        <w:t>’</w:t>
      </w:r>
      <w:r w:rsidR="00D22552">
        <w:t xml:space="preserve"> to mean</w:t>
      </w:r>
      <w:r w:rsidR="00CC5396">
        <w:rPr>
          <w:i/>
        </w:rPr>
        <w:t xml:space="preserve"> young knight</w:t>
      </w:r>
      <w:r w:rsidR="00CC5396">
        <w:t>.</w:t>
      </w:r>
    </w:p>
    <w:p w14:paraId="59B7952A" w14:textId="77777777" w:rsidR="00A41AA6" w:rsidRDefault="002642C6" w:rsidP="00E747FB">
      <w:pPr>
        <w:ind w:firstLine="720"/>
      </w:pPr>
      <w:r>
        <w:t xml:space="preserve">But there are other cases where </w:t>
      </w:r>
      <w:r w:rsidR="00CC5396">
        <w:t>a shift in meaning is</w:t>
      </w:r>
      <w:r w:rsidR="008772BE">
        <w:t xml:space="preserve"> </w:t>
      </w:r>
      <w:r w:rsidR="00CC5396" w:rsidRPr="00E432DF">
        <w:t xml:space="preserve">not </w:t>
      </w:r>
      <w:r w:rsidR="00CC5396">
        <w:t xml:space="preserve">accompanied by a change in subject matter. </w:t>
      </w:r>
      <w:r w:rsidR="00A41AA6">
        <w:t>Kuhn-style cases</w:t>
      </w:r>
      <w:r w:rsidR="004902AA">
        <w:t xml:space="preserve"> seem to</w:t>
      </w:r>
      <w:r w:rsidR="00DF16F7">
        <w:t xml:space="preserve"> offer clear examples of this second</w:t>
      </w:r>
      <w:r w:rsidR="00BF5FBF">
        <w:t xml:space="preserve"> type</w:t>
      </w:r>
      <w:r w:rsidR="00DF16F7">
        <w:t xml:space="preserve"> of meaning change. </w:t>
      </w:r>
      <w:r w:rsidR="00E432DF">
        <w:t>In these cases, s</w:t>
      </w:r>
      <w:r w:rsidR="00DF16F7">
        <w:t xml:space="preserve">peakers have diverging uses of the term in question, but they </w:t>
      </w:r>
      <w:r w:rsidR="00BF5FBF">
        <w:t>nonetheless</w:t>
      </w:r>
      <w:r w:rsidR="00DF16F7">
        <w:t xml:space="preserve"> </w:t>
      </w:r>
      <w:r w:rsidR="00C62E58">
        <w:t xml:space="preserve">seem to be </w:t>
      </w:r>
      <w:r w:rsidR="00E432DF">
        <w:t>talking and thinking about</w:t>
      </w:r>
      <w:r w:rsidR="00E70E78">
        <w:t xml:space="preserve"> the same subject matter</w:t>
      </w:r>
      <w:r w:rsidR="00AC5955">
        <w:t>;</w:t>
      </w:r>
      <w:r w:rsidR="00E432DF">
        <w:t xml:space="preserve"> they are </w:t>
      </w:r>
      <w:proofErr w:type="spellStart"/>
      <w:r w:rsidR="00E432DF">
        <w:t>samesaying</w:t>
      </w:r>
      <w:proofErr w:type="spellEnd"/>
      <w:r w:rsidR="00E432DF">
        <w:t xml:space="preserve"> with one another</w:t>
      </w:r>
      <w:r w:rsidR="00E747FB">
        <w:t xml:space="preserve">. </w:t>
      </w:r>
      <w:r w:rsidR="00E70E78">
        <w:t xml:space="preserve">Consider, for example, the change </w:t>
      </w:r>
      <w:r w:rsidR="00E747FB">
        <w:t>from earlier understandings of</w:t>
      </w:r>
      <w:r w:rsidR="00D53A3A">
        <w:t xml:space="preserve"> ‘whales’</w:t>
      </w:r>
      <w:r w:rsidR="00E70E78">
        <w:t xml:space="preserve"> as a kind of fish</w:t>
      </w:r>
      <w:r w:rsidR="00E700A7">
        <w:t xml:space="preserve"> (at</w:t>
      </w:r>
      <w:r w:rsidR="004760DB">
        <w:t>, let’s</w:t>
      </w:r>
      <w:r w:rsidR="004902AA">
        <w:t xml:space="preserve"> </w:t>
      </w:r>
      <w:r w:rsidR="004760DB">
        <w:t>say,</w:t>
      </w:r>
      <w:r w:rsidR="00E700A7">
        <w:t xml:space="preserve"> </w:t>
      </w:r>
      <w:r w:rsidR="00E700A7" w:rsidRPr="00E700A7">
        <w:t>t</w:t>
      </w:r>
      <w:r w:rsidR="00E700A7">
        <w:rPr>
          <w:vertAlign w:val="subscript"/>
        </w:rPr>
        <w:t>1</w:t>
      </w:r>
      <w:r w:rsidR="00E700A7">
        <w:t xml:space="preserve">) </w:t>
      </w:r>
      <w:r w:rsidR="00E747FB" w:rsidRPr="00E700A7">
        <w:t>to</w:t>
      </w:r>
      <w:r w:rsidR="00E747FB">
        <w:t xml:space="preserve"> our</w:t>
      </w:r>
      <w:r w:rsidR="00D53A3A">
        <w:t xml:space="preserve"> contemporary understanding of ‘whales’</w:t>
      </w:r>
      <w:r w:rsidR="00E747FB">
        <w:t xml:space="preserve"> as </w:t>
      </w:r>
      <w:r w:rsidR="00D22552">
        <w:t>mammals and not</w:t>
      </w:r>
      <w:r w:rsidR="00E747FB">
        <w:t xml:space="preserve"> fish</w:t>
      </w:r>
      <w:r w:rsidR="00E700A7">
        <w:t xml:space="preserve"> (at t</w:t>
      </w:r>
      <w:r w:rsidR="00E700A7">
        <w:rPr>
          <w:vertAlign w:val="subscript"/>
        </w:rPr>
        <w:t>2</w:t>
      </w:r>
      <w:r w:rsidR="00671CF6">
        <w:t>)</w:t>
      </w:r>
      <w:r w:rsidR="00E747FB">
        <w:t>.</w:t>
      </w:r>
      <w:r w:rsidR="00671CF6">
        <w:t xml:space="preserve"> Sawyer applies her distinction between linguistic meaning and concepts to this case:</w:t>
      </w:r>
    </w:p>
    <w:p w14:paraId="72E25741" w14:textId="77777777" w:rsidR="00A41AA6" w:rsidRDefault="00A41AA6" w:rsidP="003E5848"/>
    <w:p w14:paraId="703A4123" w14:textId="77777777" w:rsidR="003E5848" w:rsidRDefault="003E5848" w:rsidP="00DF16F7">
      <w:pPr>
        <w:ind w:left="720"/>
        <w:rPr>
          <w:sz w:val="22"/>
        </w:rPr>
      </w:pPr>
      <w:r w:rsidRPr="00DF16F7">
        <w:rPr>
          <w:sz w:val="22"/>
        </w:rPr>
        <w:t xml:space="preserve">Note that the concept expressed by the term ‘whale’ in the actual world remains constant through the change in its linguistic meaning, and hence through the change in its extension. As such, members of the linguistic community at </w:t>
      </w:r>
      <w:r w:rsidRPr="00DF16F7">
        <w:rPr>
          <w:i/>
          <w:sz w:val="22"/>
        </w:rPr>
        <w:t>t</w:t>
      </w:r>
      <w:r w:rsidRPr="00DF16F7">
        <w:rPr>
          <w:sz w:val="22"/>
          <w:vertAlign w:val="subscript"/>
        </w:rPr>
        <w:t>1</w:t>
      </w:r>
      <w:r w:rsidRPr="00DF16F7">
        <w:rPr>
          <w:sz w:val="22"/>
        </w:rPr>
        <w:t xml:space="preserve"> and members of the linguistic community at</w:t>
      </w:r>
      <w:r w:rsidR="00DF16F7" w:rsidRPr="00DF16F7">
        <w:rPr>
          <w:sz w:val="22"/>
        </w:rPr>
        <w:t xml:space="preserve"> </w:t>
      </w:r>
      <w:r w:rsidRPr="00DF16F7">
        <w:rPr>
          <w:i/>
          <w:sz w:val="22"/>
        </w:rPr>
        <w:t>t</w:t>
      </w:r>
      <w:r w:rsidRPr="00DF16F7">
        <w:rPr>
          <w:sz w:val="22"/>
          <w:vertAlign w:val="subscript"/>
        </w:rPr>
        <w:t>2</w:t>
      </w:r>
      <w:r w:rsidRPr="00DF16F7">
        <w:rPr>
          <w:sz w:val="22"/>
        </w:rPr>
        <w:t xml:space="preserve"> are able to think and talk about whales despite the difference in linguistic meaning and extension of the term ‘whale’ at the</w:t>
      </w:r>
      <w:r w:rsidR="00DF16F7" w:rsidRPr="00DF16F7">
        <w:rPr>
          <w:sz w:val="22"/>
        </w:rPr>
        <w:t xml:space="preserve"> different times. It is thought – specifically concepts – </w:t>
      </w:r>
      <w:r w:rsidRPr="00DF16F7">
        <w:rPr>
          <w:sz w:val="22"/>
        </w:rPr>
        <w:t>that provides stability through linguistic change</w:t>
      </w:r>
      <w:r w:rsidR="00DF16F7" w:rsidRPr="00DF16F7">
        <w:rPr>
          <w:sz w:val="22"/>
        </w:rPr>
        <w:t>…</w:t>
      </w:r>
      <w:r w:rsidRPr="00DF16F7">
        <w:rPr>
          <w:sz w:val="22"/>
        </w:rPr>
        <w:t>It is the concept expressed by a term tha</w:t>
      </w:r>
      <w:r w:rsidR="00DF16F7" w:rsidRPr="00DF16F7">
        <w:rPr>
          <w:sz w:val="22"/>
        </w:rPr>
        <w:t>t determines its subject matter</w:t>
      </w:r>
      <w:r w:rsidRPr="00DF16F7">
        <w:rPr>
          <w:sz w:val="22"/>
        </w:rPr>
        <w:t xml:space="preserve"> (136-137)</w:t>
      </w:r>
      <w:r w:rsidR="00DF16F7" w:rsidRPr="00DF16F7">
        <w:rPr>
          <w:sz w:val="22"/>
        </w:rPr>
        <w:t>.</w:t>
      </w:r>
    </w:p>
    <w:p w14:paraId="05E1C48B" w14:textId="77777777" w:rsidR="00E70E78" w:rsidRDefault="00E70E78" w:rsidP="00DF16F7">
      <w:pPr>
        <w:ind w:left="720"/>
        <w:rPr>
          <w:sz w:val="22"/>
        </w:rPr>
      </w:pPr>
    </w:p>
    <w:p w14:paraId="413DC078" w14:textId="77777777" w:rsidR="00334A5D" w:rsidRDefault="00557E73" w:rsidP="003E5848">
      <w:r>
        <w:rPr>
          <w:szCs w:val="24"/>
        </w:rPr>
        <w:t>The concept of a whale is what explains</w:t>
      </w:r>
      <w:r w:rsidR="00E70E78" w:rsidRPr="00E70E78">
        <w:rPr>
          <w:szCs w:val="24"/>
        </w:rPr>
        <w:t xml:space="preserve"> </w:t>
      </w:r>
      <w:r w:rsidR="00137BEE">
        <w:rPr>
          <w:szCs w:val="24"/>
        </w:rPr>
        <w:t xml:space="preserve">how speakers manage to </w:t>
      </w:r>
      <w:proofErr w:type="spellStart"/>
      <w:r>
        <w:rPr>
          <w:szCs w:val="24"/>
        </w:rPr>
        <w:t>samesay</w:t>
      </w:r>
      <w:proofErr w:type="spellEnd"/>
      <w:r>
        <w:rPr>
          <w:szCs w:val="24"/>
        </w:rPr>
        <w:t xml:space="preserve"> despit</w:t>
      </w:r>
      <w:r w:rsidR="00D53A3A">
        <w:rPr>
          <w:szCs w:val="24"/>
        </w:rPr>
        <w:t>e using the corresponding term ‘whale’</w:t>
      </w:r>
      <w:r>
        <w:rPr>
          <w:szCs w:val="24"/>
        </w:rPr>
        <w:t xml:space="preserve"> in radically diverging ways (and therefore despite having radically diverging </w:t>
      </w:r>
      <w:r w:rsidR="00334A5D">
        <w:rPr>
          <w:szCs w:val="24"/>
        </w:rPr>
        <w:t>linguistic meanings they associate with this term)</w:t>
      </w:r>
      <w:r w:rsidR="00AF64C3">
        <w:rPr>
          <w:szCs w:val="24"/>
        </w:rPr>
        <w:t xml:space="preserve">. Sawyer endorses an externalist understanding of concepts, according to which </w:t>
      </w:r>
      <w:r w:rsidR="00334A5D">
        <w:rPr>
          <w:szCs w:val="24"/>
        </w:rPr>
        <w:t>they are “</w:t>
      </w:r>
      <w:r w:rsidR="00334A5D">
        <w:t xml:space="preserve">mental representations that are components of thought…[that] depend…constitutively on non-representational relations between a </w:t>
      </w:r>
      <w:r w:rsidR="00334A5D">
        <w:lastRenderedPageBreak/>
        <w:t>subject and her environment. Concepts, then, are individuated, in part, but essentially, by relations between a thinker and objective properties in her world” (136).</w:t>
      </w:r>
      <w:r w:rsidR="00C0479E">
        <w:t xml:space="preserve"> Sawyer’s externalist understanding of concepts is important because </w:t>
      </w:r>
      <w:r w:rsidR="004760DB">
        <w:t>proponents</w:t>
      </w:r>
      <w:r w:rsidR="00C0479E">
        <w:t xml:space="preserve"> of her view w</w:t>
      </w:r>
      <w:r w:rsidR="00B22D6E">
        <w:t>ill</w:t>
      </w:r>
      <w:r w:rsidR="00C0479E">
        <w:t xml:space="preserve"> </w:t>
      </w:r>
      <w:r w:rsidR="004760DB">
        <w:t xml:space="preserve">point to </w:t>
      </w:r>
      <w:r w:rsidR="00584A20">
        <w:t>this</w:t>
      </w:r>
      <w:r w:rsidR="004902AA">
        <w:t xml:space="preserve"> </w:t>
      </w:r>
      <w:r w:rsidR="003E2E35">
        <w:t>externalism</w:t>
      </w:r>
      <w:r w:rsidR="004760DB">
        <w:t xml:space="preserve"> to answer</w:t>
      </w:r>
      <w:r w:rsidR="00C0479E">
        <w:t xml:space="preserve"> my </w:t>
      </w:r>
      <w:r w:rsidR="004760DB">
        <w:t xml:space="preserve">charge that </w:t>
      </w:r>
      <w:r w:rsidR="002B3B99">
        <w:t>her</w:t>
      </w:r>
      <w:r w:rsidR="00584A20">
        <w:t xml:space="preserve"> view</w:t>
      </w:r>
      <w:r w:rsidR="004760DB">
        <w:t xml:space="preserve"> </w:t>
      </w:r>
      <w:r w:rsidR="00C0479E">
        <w:t>fails to be explanatory.</w:t>
      </w:r>
      <w:r w:rsidR="0043723B">
        <w:t xml:space="preserve"> </w:t>
      </w:r>
      <w:r w:rsidR="005D3F5F">
        <w:t>For Sawyer, concepts hook directly onto the world, so</w:t>
      </w:r>
      <w:r w:rsidR="003E2E35">
        <w:t xml:space="preserve"> her view </w:t>
      </w:r>
      <w:r w:rsidR="003E2E35" w:rsidRPr="00D837CE">
        <w:rPr>
          <w:i/>
        </w:rPr>
        <w:t>does</w:t>
      </w:r>
      <w:r w:rsidR="003E2E35">
        <w:t xml:space="preserve"> provide</w:t>
      </w:r>
      <w:r w:rsidR="00584A20">
        <w:t xml:space="preserve"> a clear explanation for how</w:t>
      </w:r>
      <w:r w:rsidR="005D3F5F">
        <w:t xml:space="preserve"> stability of subject matter is guaranteed</w:t>
      </w:r>
      <w:r w:rsidR="00584A20">
        <w:t>:</w:t>
      </w:r>
      <w:r w:rsidR="005D3F5F">
        <w:t xml:space="preserve"> different speakers track the same features of the world via concepts</w:t>
      </w:r>
      <w:r w:rsidR="004902AA">
        <w:t>,</w:t>
      </w:r>
      <w:r w:rsidR="00584A20">
        <w:t xml:space="preserve"> even if they have different linguistic meanings they associate with this concept</w:t>
      </w:r>
      <w:r w:rsidR="005D3F5F">
        <w:t>. It follows that “[t]he</w:t>
      </w:r>
      <w:r w:rsidR="005D3F5F" w:rsidRPr="005D3F5F">
        <w:t xml:space="preserve"> </w:t>
      </w:r>
      <w:r w:rsidR="005D3F5F">
        <w:t>distinction between the linguistic meaning of a term and the concept expressed by that term provides an understanding of genuine disagreement, thus avoiding widespread linguistic and conceptual relativism” (129).</w:t>
      </w:r>
      <w:r w:rsidR="0043723B">
        <w:t xml:space="preserve"> </w:t>
      </w:r>
      <w:r w:rsidR="004902AA">
        <w:t>For example, w</w:t>
      </w:r>
      <w:r w:rsidR="0043723B">
        <w:t>e improve on</w:t>
      </w:r>
      <w:r w:rsidR="00AF7642">
        <w:t xml:space="preserve"> our previous understanding of ‘whales’</w:t>
      </w:r>
      <w:r w:rsidR="002B3B99">
        <w:t>, despite our</w:t>
      </w:r>
      <w:r w:rsidR="0043723B">
        <w:t xml:space="preserve"> divergence in linguistic meaning from previous speakers, because we</w:t>
      </w:r>
      <w:r w:rsidR="00584A20">
        <w:t xml:space="preserve"> are</w:t>
      </w:r>
      <w:r w:rsidR="0043723B">
        <w:t xml:space="preserve"> all utilizing the same concept, i.e.,</w:t>
      </w:r>
      <w:r w:rsidR="003E2E35">
        <w:t xml:space="preserve"> we are</w:t>
      </w:r>
      <w:r w:rsidR="0043723B">
        <w:t xml:space="preserve"> all tracking the same “objective properties” in the world that correspond to this kind.</w:t>
      </w:r>
    </w:p>
    <w:p w14:paraId="790D895E" w14:textId="77777777" w:rsidR="009E69FB" w:rsidRDefault="004902AA" w:rsidP="003E5848">
      <w:r>
        <w:tab/>
      </w:r>
      <w:r w:rsidR="002B3B99">
        <w:t>It is</w:t>
      </w:r>
      <w:r w:rsidR="00000405">
        <w:t xml:space="preserve"> not </w:t>
      </w:r>
      <w:r w:rsidR="00186418">
        <w:t xml:space="preserve">quite </w:t>
      </w:r>
      <w:r w:rsidR="00000405">
        <w:t>clear</w:t>
      </w:r>
      <w:r w:rsidR="002B3B99">
        <w:t>, however,</w:t>
      </w:r>
      <w:r w:rsidR="00000405">
        <w:t xml:space="preserve"> what </w:t>
      </w:r>
      <w:r w:rsidR="00AD2424">
        <w:t xml:space="preserve">explanatory value </w:t>
      </w:r>
      <w:r w:rsidR="00000405">
        <w:t>this appeal to “o</w:t>
      </w:r>
      <w:r w:rsidR="00F0661C">
        <w:t>bjective” features of the world</w:t>
      </w:r>
      <w:r w:rsidR="00543562">
        <w:t xml:space="preserve"> </w:t>
      </w:r>
      <w:r w:rsidR="00F95BE7">
        <w:t>has</w:t>
      </w:r>
      <w:r w:rsidR="00186418">
        <w:t>.</w:t>
      </w:r>
      <w:r w:rsidR="00AD2424">
        <w:t xml:space="preserve"> A key question in the </w:t>
      </w:r>
      <w:proofErr w:type="spellStart"/>
      <w:r w:rsidR="00AD2424">
        <w:t>metasemantic</w:t>
      </w:r>
      <w:proofErr w:type="spellEnd"/>
      <w:r w:rsidR="00AD2424">
        <w:t xml:space="preserve"> dispute between those who</w:t>
      </w:r>
      <w:r w:rsidR="00181CEB">
        <w:t xml:space="preserve"> are inclined to affirm verdicts of </w:t>
      </w:r>
      <w:proofErr w:type="spellStart"/>
      <w:r w:rsidR="00181CEB">
        <w:t>samesaying</w:t>
      </w:r>
      <w:proofErr w:type="spellEnd"/>
      <w:r w:rsidR="00AD2424">
        <w:t xml:space="preserve"> </w:t>
      </w:r>
      <w:r w:rsidR="00181CEB">
        <w:t>among speakers with divergent understandings (like Sawyer) and those who are inclined to reject these verdicts</w:t>
      </w:r>
      <w:r w:rsidR="002B3B99">
        <w:t xml:space="preserve"> (like Kuhn)</w:t>
      </w:r>
      <w:r w:rsidR="00181CEB">
        <w:t xml:space="preserve"> is whether there is any sense to be made of “objective properties” that </w:t>
      </w:r>
      <w:r w:rsidR="00FE4433">
        <w:t>somehow outstrip our linguistic activity</w:t>
      </w:r>
      <w:r w:rsidR="005F63E1">
        <w:t xml:space="preserve"> </w:t>
      </w:r>
      <w:r w:rsidR="00B5399E">
        <w:t xml:space="preserve">and could therefore ground genuine </w:t>
      </w:r>
      <w:proofErr w:type="spellStart"/>
      <w:r w:rsidR="00B5399E">
        <w:t>samesaying</w:t>
      </w:r>
      <w:proofErr w:type="spellEnd"/>
      <w:r w:rsidR="00B5399E">
        <w:t xml:space="preserve"> and communication</w:t>
      </w:r>
      <w:r w:rsidR="00F95BE7">
        <w:t xml:space="preserve"> in difficult cases</w:t>
      </w:r>
      <w:r w:rsidR="00FE4433">
        <w:t xml:space="preserve">. </w:t>
      </w:r>
      <w:r w:rsidR="006D6CE0">
        <w:t xml:space="preserve">Kuhn, for example, would </w:t>
      </w:r>
      <w:r w:rsidR="006820AB">
        <w:t xml:space="preserve">take any story that appeals to “objective properties” to anchor </w:t>
      </w:r>
      <w:proofErr w:type="spellStart"/>
      <w:r w:rsidR="006820AB">
        <w:t>samesaying</w:t>
      </w:r>
      <w:proofErr w:type="spellEnd"/>
      <w:r w:rsidR="006820AB">
        <w:t xml:space="preserve"> to </w:t>
      </w:r>
      <w:r w:rsidR="009E69FB">
        <w:t>beg the question. He takes his own vie</w:t>
      </w:r>
      <w:r w:rsidR="00FE4433">
        <w:t>w of conceptual change to challe</w:t>
      </w:r>
      <w:r w:rsidR="009E69FB">
        <w:t xml:space="preserve">nge the very idea of </w:t>
      </w:r>
      <w:r w:rsidR="00E76D4B">
        <w:t xml:space="preserve">Sawyer’s </w:t>
      </w:r>
      <w:r w:rsidR="009E69FB">
        <w:t>“non-representational relations between a subject and her environment”</w:t>
      </w:r>
      <w:r w:rsidR="00181CEB">
        <w:t>. He writes</w:t>
      </w:r>
      <w:r w:rsidR="009E69FB">
        <w:t>:</w:t>
      </w:r>
      <w:r w:rsidR="003738B7">
        <w:t xml:space="preserve"> “There is…no theory-independent way to reconstruct phrases like ‘really there’; the notion of a match between the ontology of a theory and its “real” counterpart in nature now seems to me illusive in principle” (</w:t>
      </w:r>
      <w:r w:rsidR="00E76D4B">
        <w:t xml:space="preserve">Kuhn </w:t>
      </w:r>
      <w:r w:rsidR="003738B7">
        <w:t>1970/2012, 205).</w:t>
      </w:r>
      <w:r w:rsidR="00B5399E">
        <w:t xml:space="preserve"> Sawyer’s appeal to an externalist story regarding concepts and </w:t>
      </w:r>
      <w:proofErr w:type="spellStart"/>
      <w:r w:rsidR="00B5399E">
        <w:t>samesaying</w:t>
      </w:r>
      <w:proofErr w:type="spellEnd"/>
      <w:r w:rsidR="00B5399E">
        <w:t xml:space="preserve"> therefore does not seem to escape the charge of explanatory vacuity. </w:t>
      </w:r>
      <w:r w:rsidR="008638E5">
        <w:t xml:space="preserve">Anyone who is not already a dyed-in-the-wool </w:t>
      </w:r>
      <w:r w:rsidR="002B3B99">
        <w:t>externalist will not be moved by</w:t>
      </w:r>
      <w:r w:rsidR="008638E5">
        <w:t xml:space="preserve"> Sawyer’s </w:t>
      </w:r>
      <w:r w:rsidR="0002321B">
        <w:t xml:space="preserve">carving up of </w:t>
      </w:r>
      <w:proofErr w:type="spellStart"/>
      <w:r w:rsidR="0002321B">
        <w:t>metasemantic</w:t>
      </w:r>
      <w:proofErr w:type="spellEnd"/>
      <w:r w:rsidR="0002321B">
        <w:t xml:space="preserve"> categories</w:t>
      </w:r>
      <w:r w:rsidR="008638E5">
        <w:t xml:space="preserve">. </w:t>
      </w:r>
      <w:r w:rsidR="00EC5FA1">
        <w:t>Th</w:t>
      </w:r>
      <w:r w:rsidR="00495B2C">
        <w:t xml:space="preserve">e question </w:t>
      </w:r>
      <w:r w:rsidR="004B74D3">
        <w:t>remains</w:t>
      </w:r>
      <w:r w:rsidR="00495B2C">
        <w:t xml:space="preserve"> </w:t>
      </w:r>
      <w:r w:rsidR="00EC5FA1">
        <w:t>whether we are</w:t>
      </w:r>
      <w:r w:rsidR="00495B2C">
        <w:t xml:space="preserve"> in fact</w:t>
      </w:r>
      <w:r w:rsidR="00EC5FA1">
        <w:t xml:space="preserve"> talking and thinking about the same thing if</w:t>
      </w:r>
      <w:r w:rsidR="004B74D3">
        <w:t xml:space="preserve"> our understandings of the relevant</w:t>
      </w:r>
      <w:r w:rsidR="00543562">
        <w:t xml:space="preserve"> objective properties fundamentally differ</w:t>
      </w:r>
      <w:r w:rsidR="00EC5FA1">
        <w:t>.</w:t>
      </w:r>
      <w:r w:rsidR="008638E5">
        <w:t xml:space="preserve"> The specter of “widespread linguistic and conceptual relativism”</w:t>
      </w:r>
      <w:r w:rsidR="00495B2C">
        <w:t>, in turn, looms</w:t>
      </w:r>
      <w:r w:rsidR="008638E5">
        <w:t>.</w:t>
      </w:r>
    </w:p>
    <w:p w14:paraId="175BC9D2" w14:textId="77777777" w:rsidR="006D6CE0" w:rsidRDefault="006D6CE0" w:rsidP="003E5848">
      <w:r>
        <w:tab/>
      </w:r>
      <w:r w:rsidR="00861ADA">
        <w:t>Herman</w:t>
      </w:r>
      <w:r w:rsidR="00E76D4B">
        <w:t xml:space="preserve"> </w:t>
      </w:r>
      <w:proofErr w:type="spellStart"/>
      <w:r w:rsidR="005F63E1">
        <w:t>Cappelen</w:t>
      </w:r>
      <w:proofErr w:type="spellEnd"/>
      <w:r w:rsidR="00E809D2">
        <w:t xml:space="preserve"> recommends introduci</w:t>
      </w:r>
      <w:r>
        <w:t>n</w:t>
      </w:r>
      <w:r w:rsidR="00E809D2">
        <w:t>g</w:t>
      </w:r>
      <w:r>
        <w:t xml:space="preserve"> a novel category</w:t>
      </w:r>
      <w:r w:rsidR="00A925DA">
        <w:t xml:space="preserve"> of “topics”</w:t>
      </w:r>
      <w:r>
        <w:t xml:space="preserve"> to ground </w:t>
      </w:r>
      <w:proofErr w:type="spellStart"/>
      <w:r>
        <w:t>samesaying</w:t>
      </w:r>
      <w:proofErr w:type="spellEnd"/>
      <w:r>
        <w:t xml:space="preserve"> among speake</w:t>
      </w:r>
      <w:r w:rsidR="00E76D4B">
        <w:t xml:space="preserve">rs with </w:t>
      </w:r>
      <w:r w:rsidR="00BF719C">
        <w:t>disparate</w:t>
      </w:r>
      <w:r w:rsidR="00E76D4B">
        <w:t xml:space="preserve"> understandings</w:t>
      </w:r>
      <w:r w:rsidR="005C1466">
        <w:t>.</w:t>
      </w:r>
      <w:r w:rsidR="00861ADA">
        <w:rPr>
          <w:rStyle w:val="FootnoteReference"/>
        </w:rPr>
        <w:footnoteReference w:id="2"/>
      </w:r>
      <w:r w:rsidR="005C1466">
        <w:t xml:space="preserve"> </w:t>
      </w:r>
      <w:r w:rsidR="005F63E1">
        <w:t>He</w:t>
      </w:r>
      <w:r w:rsidR="005C1466">
        <w:t xml:space="preserve"> </w:t>
      </w:r>
      <w:r w:rsidR="008F6C12">
        <w:t xml:space="preserve">explains </w:t>
      </w:r>
      <w:r w:rsidR="00A925DA">
        <w:t>the</w:t>
      </w:r>
      <w:r w:rsidR="00DD0111">
        <w:t xml:space="preserve"> category </w:t>
      </w:r>
      <w:r w:rsidR="008F6C12">
        <w:t>as follows</w:t>
      </w:r>
      <w:r w:rsidR="00DF721B">
        <w:t>:</w:t>
      </w:r>
    </w:p>
    <w:p w14:paraId="375A3BB5" w14:textId="77777777" w:rsidR="007837F7" w:rsidRDefault="007837F7" w:rsidP="00B7212A"/>
    <w:p w14:paraId="1BB14DFF" w14:textId="77777777" w:rsidR="007837F7" w:rsidRPr="006D6CE0" w:rsidRDefault="007837F7" w:rsidP="006D6CE0">
      <w:pPr>
        <w:ind w:left="720"/>
        <w:rPr>
          <w:sz w:val="22"/>
        </w:rPr>
      </w:pPr>
      <w:r w:rsidRPr="006D6CE0">
        <w:rPr>
          <w:sz w:val="22"/>
        </w:rPr>
        <w:t xml:space="preserve">As soon as you recognize that </w:t>
      </w:r>
      <w:r w:rsidRPr="006D6CE0">
        <w:rPr>
          <w:i/>
          <w:sz w:val="22"/>
        </w:rPr>
        <w:t xml:space="preserve">what we talk about </w:t>
      </w:r>
      <w:r w:rsidRPr="006D6CE0">
        <w:rPr>
          <w:sz w:val="22"/>
        </w:rPr>
        <w:t xml:space="preserve">and </w:t>
      </w:r>
      <w:r w:rsidRPr="006D6CE0">
        <w:rPr>
          <w:i/>
          <w:sz w:val="22"/>
        </w:rPr>
        <w:t>what we say</w:t>
      </w:r>
      <w:r w:rsidRPr="006D6CE0">
        <w:rPr>
          <w:sz w:val="22"/>
        </w:rPr>
        <w:t xml:space="preserve"> is more coarse-grained than extensions and intensions, then </w:t>
      </w:r>
      <w:r w:rsidRPr="006D6CE0">
        <w:rPr>
          <w:i/>
          <w:sz w:val="22"/>
        </w:rPr>
        <w:t xml:space="preserve">we can say the same </w:t>
      </w:r>
      <w:r w:rsidRPr="006D6CE0">
        <w:rPr>
          <w:sz w:val="22"/>
        </w:rPr>
        <w:t xml:space="preserve">and </w:t>
      </w:r>
      <w:r w:rsidRPr="006D6CE0">
        <w:rPr>
          <w:i/>
          <w:sz w:val="22"/>
        </w:rPr>
        <w:t>talk about the same things (the same topics)</w:t>
      </w:r>
      <w:r w:rsidRPr="006D6CE0">
        <w:rPr>
          <w:sz w:val="22"/>
        </w:rPr>
        <w:t xml:space="preserve"> – more general have continuity of talk and thought – even when our representational devices differ with respect to their extensions and intensions</w:t>
      </w:r>
      <w:r w:rsidR="005C1466">
        <w:rPr>
          <w:sz w:val="22"/>
        </w:rPr>
        <w:t>…</w:t>
      </w:r>
      <w:r w:rsidRPr="006D6CE0">
        <w:rPr>
          <w:sz w:val="22"/>
        </w:rPr>
        <w:t xml:space="preserve">We can talk about the </w:t>
      </w:r>
      <w:r w:rsidRPr="006D6CE0">
        <w:rPr>
          <w:i/>
          <w:sz w:val="22"/>
        </w:rPr>
        <w:t>same topic</w:t>
      </w:r>
      <w:r w:rsidRPr="006D6CE0">
        <w:rPr>
          <w:sz w:val="22"/>
        </w:rPr>
        <w:t>, e.g., knowledge, belief, freedom, or marriage, even though the extension and intension of ‘knowledge’, ‘belief’, ‘freedom’, and ‘marriage’ change. As those terms undergo semantic changes we can still use th</w:t>
      </w:r>
      <w:r w:rsidR="006D6CE0" w:rsidRPr="006D6CE0">
        <w:rPr>
          <w:sz w:val="22"/>
        </w:rPr>
        <w:t>em to talk about the same topic</w:t>
      </w:r>
      <w:r w:rsidRPr="006D6CE0">
        <w:rPr>
          <w:sz w:val="22"/>
        </w:rPr>
        <w:t xml:space="preserve"> (103)</w:t>
      </w:r>
      <w:r w:rsidR="00DF721B">
        <w:rPr>
          <w:sz w:val="22"/>
        </w:rPr>
        <w:t>.</w:t>
      </w:r>
    </w:p>
    <w:p w14:paraId="7C09EECC" w14:textId="77777777" w:rsidR="007837F7" w:rsidRDefault="007837F7" w:rsidP="007837F7"/>
    <w:p w14:paraId="241B0D09" w14:textId="77777777" w:rsidR="00EF0B8F" w:rsidRDefault="00E6640B" w:rsidP="007837F7">
      <w:r>
        <w:lastRenderedPageBreak/>
        <w:t>Two worries</w:t>
      </w:r>
      <w:r w:rsidR="00EF0B8F">
        <w:t xml:space="preserve"> face this approach. First, </w:t>
      </w:r>
      <w:r w:rsidR="009B17B6">
        <w:t xml:space="preserve">introducing a further category to capture our intuitions about </w:t>
      </w:r>
      <w:proofErr w:type="spellStart"/>
      <w:r w:rsidR="009B17B6">
        <w:t>samesaying</w:t>
      </w:r>
      <w:proofErr w:type="spellEnd"/>
      <w:r w:rsidR="006749E6">
        <w:t xml:space="preserve"> </w:t>
      </w:r>
      <w:r w:rsidR="00123877">
        <w:t>only seems</w:t>
      </w:r>
      <w:r w:rsidR="006749E6">
        <w:t xml:space="preserve"> to push</w:t>
      </w:r>
      <w:r w:rsidR="00E57B0E">
        <w:t xml:space="preserve"> the problem back a step</w:t>
      </w:r>
      <w:r w:rsidR="00EF0B8F">
        <w:t xml:space="preserve"> further</w:t>
      </w:r>
      <w:r w:rsidR="00E57B0E">
        <w:t>:</w:t>
      </w:r>
      <w:r w:rsidR="009B17B6">
        <w:t xml:space="preserve"> we will now wonder whether speakers with different understandings of a topic should count as </w:t>
      </w:r>
      <w:proofErr w:type="spellStart"/>
      <w:r w:rsidR="009B17B6">
        <w:t>samesaying</w:t>
      </w:r>
      <w:proofErr w:type="spellEnd"/>
      <w:r w:rsidR="005F7E3E">
        <w:t xml:space="preserve"> (much as we will</w:t>
      </w:r>
      <w:r w:rsidR="00B6717A">
        <w:t xml:space="preserve"> still</w:t>
      </w:r>
      <w:r w:rsidR="005F7E3E">
        <w:t xml:space="preserve"> wonder if speakers with different understandings of Sawyer’s objective properties should count as </w:t>
      </w:r>
      <w:proofErr w:type="spellStart"/>
      <w:r w:rsidR="005F7E3E">
        <w:t>samesaying</w:t>
      </w:r>
      <w:proofErr w:type="spellEnd"/>
      <w:r w:rsidR="005F7E3E">
        <w:t>)</w:t>
      </w:r>
      <w:r w:rsidR="009B17B6">
        <w:t xml:space="preserve">. </w:t>
      </w:r>
      <w:r w:rsidR="00EF0B8F">
        <w:t>Second</w:t>
      </w:r>
      <w:r w:rsidR="009B17B6">
        <w:t xml:space="preserve">, </w:t>
      </w:r>
      <w:r w:rsidR="006749E6">
        <w:t>we will</w:t>
      </w:r>
      <w:r w:rsidR="00EF0B8F">
        <w:t xml:space="preserve"> </w:t>
      </w:r>
      <w:r w:rsidR="00123877">
        <w:t xml:space="preserve">want </w:t>
      </w:r>
      <w:r w:rsidR="00EF0B8F">
        <w:t>an account of the metaphysical status of “topics”</w:t>
      </w:r>
      <w:r w:rsidR="00D64766">
        <w:t xml:space="preserve">, an </w:t>
      </w:r>
      <w:r w:rsidR="001A6A05">
        <w:t xml:space="preserve">account of what kind of entity </w:t>
      </w:r>
      <w:r w:rsidR="005F7E3E">
        <w:t>“</w:t>
      </w:r>
      <w:r w:rsidR="001A6A05">
        <w:t>topics</w:t>
      </w:r>
      <w:r w:rsidR="005F7E3E">
        <w:t>”</w:t>
      </w:r>
      <w:r w:rsidR="00D64766">
        <w:t xml:space="preserve"> are.</w:t>
      </w:r>
    </w:p>
    <w:p w14:paraId="3CCFCEBD" w14:textId="77777777" w:rsidR="009D241A" w:rsidRDefault="009B17B6" w:rsidP="007837F7">
      <w:r>
        <w:tab/>
      </w:r>
      <w:proofErr w:type="spellStart"/>
      <w:r>
        <w:t>Cappelen</w:t>
      </w:r>
      <w:proofErr w:type="spellEnd"/>
      <w:r w:rsidR="00FA3792">
        <w:t xml:space="preserve"> </w:t>
      </w:r>
      <w:r>
        <w:t xml:space="preserve">anticipates these criticisms: </w:t>
      </w:r>
      <w:r w:rsidR="007837F7">
        <w:t>“What are topics? I don’t have a metaphysics of topics and their identity conditions over time. Instead, I have an account (or a description) of the contestation ove</w:t>
      </w:r>
      <w:r>
        <w:t>r when it’s legitimate to say, ‘</w:t>
      </w:r>
      <w:r w:rsidR="007837F7">
        <w:t>They’re still talking about (or discussing, describing, o</w:t>
      </w:r>
      <w:r>
        <w:t xml:space="preserve">r…) marriage (or freedom or…)’” (140). </w:t>
      </w:r>
      <w:proofErr w:type="spellStart"/>
      <w:r w:rsidR="00EF0B8F">
        <w:t>Cappelen</w:t>
      </w:r>
      <w:proofErr w:type="spellEnd"/>
      <w:r w:rsidR="00EF0B8F">
        <w:t xml:space="preserve"> explains that w</w:t>
      </w:r>
      <w:r w:rsidR="00FA27D4">
        <w:t>e should not think that “topics” correspond to a “</w:t>
      </w:r>
      <w:r w:rsidR="007837F7">
        <w:t xml:space="preserve">new level of content that </w:t>
      </w:r>
      <w:r w:rsidR="00FA27D4">
        <w:t>[speakers]</w:t>
      </w:r>
      <w:r w:rsidR="007837F7">
        <w:t xml:space="preserve"> converge on. That would lead us into a regress and be non-explanatory</w:t>
      </w:r>
      <w:r w:rsidR="00FA27D4">
        <w:t>…[T]</w:t>
      </w:r>
      <w:r w:rsidR="007837F7">
        <w:t>here’s no point postulating a new entity – topics, to account for the continuity in topic – that will do no explanatory work” (140).</w:t>
      </w:r>
      <w:r w:rsidR="00D50E90">
        <w:t xml:space="preserve"> </w:t>
      </w:r>
      <w:r w:rsidR="00123877">
        <w:t xml:space="preserve">But </w:t>
      </w:r>
      <w:r w:rsidR="001A6A05">
        <w:t>it is not clear that</w:t>
      </w:r>
      <w:r w:rsidR="00AE2EA0">
        <w:t xml:space="preserve"> </w:t>
      </w:r>
      <w:proofErr w:type="spellStart"/>
      <w:r w:rsidR="00D50E90">
        <w:t>Cappelen</w:t>
      </w:r>
      <w:proofErr w:type="spellEnd"/>
      <w:r w:rsidR="00D50E90">
        <w:t xml:space="preserve"> can</w:t>
      </w:r>
      <w:r w:rsidR="005F63E1">
        <w:t xml:space="preserve"> quite so easily</w:t>
      </w:r>
      <w:r w:rsidR="00D50E90">
        <w:t xml:space="preserve"> dismiss the</w:t>
      </w:r>
      <w:r w:rsidR="00924410">
        <w:t xml:space="preserve"> explanatory or</w:t>
      </w:r>
      <w:r w:rsidR="00D50E90">
        <w:t xml:space="preserve"> metaphysical worries for his account.</w:t>
      </w:r>
      <w:r w:rsidR="00EB608C">
        <w:t xml:space="preserve"> </w:t>
      </w:r>
      <w:r w:rsidR="00123877">
        <w:t xml:space="preserve">What his category of “topics” captures is the fact that </w:t>
      </w:r>
      <w:r w:rsidR="00D50E90">
        <w:t xml:space="preserve">we </w:t>
      </w:r>
      <w:r w:rsidR="00D50E90">
        <w:rPr>
          <w:i/>
        </w:rPr>
        <w:t>appear</w:t>
      </w:r>
      <w:r w:rsidR="00D50E90">
        <w:t xml:space="preserve"> to </w:t>
      </w:r>
      <w:r w:rsidR="00123877">
        <w:t xml:space="preserve">one another to </w:t>
      </w:r>
      <w:proofErr w:type="spellStart"/>
      <w:r w:rsidR="00D50E90">
        <w:t>samesay</w:t>
      </w:r>
      <w:proofErr w:type="spellEnd"/>
      <w:r w:rsidR="00D50E90">
        <w:t xml:space="preserve"> in contexts where </w:t>
      </w:r>
      <w:r w:rsidR="00EA543B">
        <w:t>our understandings</w:t>
      </w:r>
      <w:r w:rsidR="00AB1AA1">
        <w:t xml:space="preserve"> of the relevant terms</w:t>
      </w:r>
      <w:r w:rsidR="00D50E90">
        <w:t xml:space="preserve"> differ</w:t>
      </w:r>
      <w:r w:rsidR="00123877">
        <w:t>. But the question at issue is not whet</w:t>
      </w:r>
      <w:r w:rsidR="00317DDE">
        <w:t>her there is such a phenomenological</w:t>
      </w:r>
      <w:r w:rsidR="00123877">
        <w:t xml:space="preserve"> appearance, but whether this appearance in fact corresponds to a genuine reality – whether we do not just appear to </w:t>
      </w:r>
      <w:proofErr w:type="spellStart"/>
      <w:r w:rsidR="00123877">
        <w:t>samesay</w:t>
      </w:r>
      <w:proofErr w:type="spellEnd"/>
      <w:r w:rsidR="00123877">
        <w:t xml:space="preserve">, but </w:t>
      </w:r>
      <w:r w:rsidR="00184184">
        <w:t xml:space="preserve">are in fact </w:t>
      </w:r>
      <w:proofErr w:type="spellStart"/>
      <w:r w:rsidR="00123877">
        <w:t>samesaying</w:t>
      </w:r>
      <w:proofErr w:type="spellEnd"/>
      <w:r w:rsidR="00123877">
        <w:t xml:space="preserve"> in these cases.</w:t>
      </w:r>
      <w:r w:rsidR="00187D08">
        <w:t xml:space="preserve"> Presumably we are not infallible in our judgments concerning </w:t>
      </w:r>
      <w:proofErr w:type="spellStart"/>
      <w:r w:rsidR="00187D08">
        <w:t>samesaying</w:t>
      </w:r>
      <w:proofErr w:type="spellEnd"/>
      <w:r w:rsidR="00187D08">
        <w:t>, especially</w:t>
      </w:r>
      <w:r w:rsidR="002B3B99">
        <w:t xml:space="preserve"> in cases</w:t>
      </w:r>
      <w:r w:rsidR="00187D08">
        <w:t xml:space="preserve"> whe</w:t>
      </w:r>
      <w:r w:rsidR="00F95BE7">
        <w:t>re</w:t>
      </w:r>
      <w:r w:rsidR="00187D08">
        <w:t xml:space="preserve"> our understandings diverge substantially. But </w:t>
      </w:r>
      <w:r w:rsidR="00EB4C39">
        <w:t xml:space="preserve">then </w:t>
      </w:r>
      <w:r w:rsidR="00243EE3">
        <w:t xml:space="preserve">in order </w:t>
      </w:r>
      <w:r w:rsidR="009D241A">
        <w:t>to know whether</w:t>
      </w:r>
      <w:r w:rsidR="00187D08">
        <w:t xml:space="preserve"> we are in fact </w:t>
      </w:r>
      <w:r w:rsidR="009D241A">
        <w:t xml:space="preserve">all </w:t>
      </w:r>
      <w:r w:rsidR="00187D08">
        <w:t>talking and thinking about the same “topic”</w:t>
      </w:r>
      <w:r w:rsidR="00243EE3">
        <w:t>, we</w:t>
      </w:r>
      <w:r w:rsidR="00187D08">
        <w:t xml:space="preserve"> </w:t>
      </w:r>
      <w:r w:rsidR="00954395">
        <w:t xml:space="preserve">will </w:t>
      </w:r>
      <w:r w:rsidR="00243EE3">
        <w:t xml:space="preserve">have to know </w:t>
      </w:r>
      <w:r w:rsidR="00187D08">
        <w:t xml:space="preserve">what </w:t>
      </w:r>
      <w:r w:rsidR="00E3196A">
        <w:t>topics</w:t>
      </w:r>
      <w:r w:rsidR="00555E2F">
        <w:t xml:space="preserve"> are</w:t>
      </w:r>
      <w:r w:rsidR="009D241A">
        <w:t xml:space="preserve">: what the thing is that we are all </w:t>
      </w:r>
      <w:proofErr w:type="spellStart"/>
      <w:r w:rsidR="009D241A">
        <w:t>samesaying</w:t>
      </w:r>
      <w:proofErr w:type="spellEnd"/>
      <w:r w:rsidR="009D241A">
        <w:t xml:space="preserve"> about.</w:t>
      </w:r>
      <w:r w:rsidR="00954395">
        <w:t xml:space="preserve"> If we </w:t>
      </w:r>
      <w:r w:rsidR="005928ED">
        <w:t>do</w:t>
      </w:r>
      <w:r w:rsidR="00954395">
        <w:t xml:space="preserve"> not “have a metaphysics of topics and their identity conditions over time”, then I do not see how we can know whether there is a genuine topic and </w:t>
      </w:r>
      <w:r w:rsidR="005928ED">
        <w:t>so</w:t>
      </w:r>
      <w:r w:rsidR="00954395">
        <w:t xml:space="preserve"> </w:t>
      </w:r>
      <w:proofErr w:type="spellStart"/>
      <w:r w:rsidR="00954395">
        <w:t>samesaying</w:t>
      </w:r>
      <w:proofErr w:type="spellEnd"/>
      <w:r w:rsidR="00954395">
        <w:t xml:space="preserve"> in any particular case.</w:t>
      </w:r>
      <w:r w:rsidR="00924410">
        <w:t xml:space="preserve"> The explanatory value of the view</w:t>
      </w:r>
      <w:r w:rsidR="004B548B">
        <w:t xml:space="preserve">, in turn, </w:t>
      </w:r>
      <w:r w:rsidR="0002321B">
        <w:t>remains</w:t>
      </w:r>
      <w:r w:rsidR="004B548B">
        <w:t xml:space="preserve"> </w:t>
      </w:r>
      <w:r w:rsidR="00924410">
        <w:t xml:space="preserve">unclear, and we incur the further cost of an inflated </w:t>
      </w:r>
      <w:proofErr w:type="spellStart"/>
      <w:r w:rsidR="00924410">
        <w:t>metasemantics</w:t>
      </w:r>
      <w:proofErr w:type="spellEnd"/>
      <w:r w:rsidR="00924410">
        <w:t xml:space="preserve"> and</w:t>
      </w:r>
      <w:r w:rsidR="00492233">
        <w:t xml:space="preserve"> possibly inflated</w:t>
      </w:r>
      <w:r w:rsidR="00924410">
        <w:t xml:space="preserve"> </w:t>
      </w:r>
      <w:r w:rsidR="004B548B">
        <w:t>metaphysics</w:t>
      </w:r>
      <w:r w:rsidR="00492233">
        <w:t xml:space="preserve"> as well</w:t>
      </w:r>
      <w:r w:rsidR="00924410">
        <w:t>.</w:t>
      </w:r>
    </w:p>
    <w:p w14:paraId="0B3AF28B" w14:textId="77777777" w:rsidR="00644F50" w:rsidRDefault="00D50E90" w:rsidP="00B90FDE">
      <w:r>
        <w:tab/>
      </w:r>
      <w:r w:rsidR="00891C0B">
        <w:t>There is</w:t>
      </w:r>
      <w:r w:rsidR="00187D08">
        <w:t xml:space="preserve"> </w:t>
      </w:r>
      <w:r w:rsidR="00891C0B">
        <w:t xml:space="preserve">a certain detail </w:t>
      </w:r>
      <w:r w:rsidR="00924410">
        <w:t xml:space="preserve">in </w:t>
      </w:r>
      <w:proofErr w:type="spellStart"/>
      <w:r w:rsidR="00891C0B">
        <w:t>Cappelen’s</w:t>
      </w:r>
      <w:proofErr w:type="spellEnd"/>
      <w:r w:rsidR="00891C0B">
        <w:t xml:space="preserve"> account</w:t>
      </w:r>
      <w:r w:rsidR="00187D08">
        <w:t>, however,</w:t>
      </w:r>
      <w:r w:rsidR="00891C0B">
        <w:t xml:space="preserve"> that points to an alternative approach.</w:t>
      </w:r>
      <w:r w:rsidR="008371F2">
        <w:rPr>
          <w:rStyle w:val="FootnoteReference"/>
        </w:rPr>
        <w:footnoteReference w:id="3"/>
      </w:r>
      <w:r w:rsidR="00891C0B">
        <w:t xml:space="preserve"> He writes that </w:t>
      </w:r>
      <w:r w:rsidR="00FA27D4">
        <w:t>“</w:t>
      </w:r>
      <w:r w:rsidR="00891C0B">
        <w:t>[f]</w:t>
      </w:r>
      <w:r w:rsidR="007837F7">
        <w:t xml:space="preserve">or there to be topic continuity is for the groups to be </w:t>
      </w:r>
      <w:r w:rsidR="007837F7" w:rsidRPr="00882701">
        <w:rPr>
          <w:i/>
        </w:rPr>
        <w:t>treated</w:t>
      </w:r>
      <w:r w:rsidR="007837F7">
        <w:t xml:space="preserve"> as </w:t>
      </w:r>
      <w:proofErr w:type="spellStart"/>
      <w:r w:rsidR="007837F7">
        <w:t>samesayers</w:t>
      </w:r>
      <w:proofErr w:type="spellEnd"/>
      <w:r w:rsidR="007837F7">
        <w:t xml:space="preserve"> for certain purposes” (198</w:t>
      </w:r>
      <w:r w:rsidR="00882701">
        <w:t>, emphasis mine</w:t>
      </w:r>
      <w:r w:rsidR="007837F7">
        <w:t xml:space="preserve">). </w:t>
      </w:r>
      <w:r w:rsidR="00C03339">
        <w:t xml:space="preserve">Here </w:t>
      </w:r>
      <w:proofErr w:type="spellStart"/>
      <w:r w:rsidR="00B90FDE">
        <w:t>Cappelen</w:t>
      </w:r>
      <w:proofErr w:type="spellEnd"/>
      <w:r w:rsidR="00B90FDE">
        <w:t xml:space="preserve"> takes “topic continuity” to arise from how we </w:t>
      </w:r>
      <w:r w:rsidR="00B90FDE">
        <w:rPr>
          <w:i/>
        </w:rPr>
        <w:t>treat</w:t>
      </w:r>
      <w:r w:rsidR="00B90FDE">
        <w:t xml:space="preserve"> one anot</w:t>
      </w:r>
      <w:r w:rsidR="00C03339">
        <w:t xml:space="preserve">her as </w:t>
      </w:r>
      <w:proofErr w:type="spellStart"/>
      <w:r w:rsidR="00C03339">
        <w:t>samesayers</w:t>
      </w:r>
      <w:proofErr w:type="spellEnd"/>
      <w:r w:rsidR="00C03339">
        <w:t xml:space="preserve">. </w:t>
      </w:r>
      <w:r w:rsidR="00B90FDE">
        <w:t xml:space="preserve">This approach is also reflected in the fact that </w:t>
      </w:r>
      <w:proofErr w:type="spellStart"/>
      <w:r w:rsidR="00B90FDE">
        <w:t>Cappelen</w:t>
      </w:r>
      <w:proofErr w:type="spellEnd"/>
      <w:r w:rsidR="00B90FDE">
        <w:t xml:space="preserve"> cites our </w:t>
      </w:r>
      <w:proofErr w:type="spellStart"/>
      <w:r w:rsidR="00B90FDE">
        <w:t>disquotational</w:t>
      </w:r>
      <w:proofErr w:type="spellEnd"/>
      <w:r w:rsidR="00B90FDE">
        <w:t xml:space="preserve"> practices – where</w:t>
      </w:r>
      <w:r w:rsidR="001C6D90">
        <w:t>, for example,</w:t>
      </w:r>
      <w:r w:rsidR="00B90FDE">
        <w:t xml:space="preserve"> we use </w:t>
      </w:r>
      <w:r w:rsidR="00DB57AD">
        <w:t>(</w:t>
      </w:r>
      <w:r w:rsidR="00B90FDE">
        <w:t>rather than mention</w:t>
      </w:r>
      <w:r w:rsidR="00DB57AD">
        <w:t>)</w:t>
      </w:r>
      <w:r w:rsidR="00B90FDE">
        <w:t xml:space="preserve"> a particular term to report what other speakers have said, even when we know their understanding of the</w:t>
      </w:r>
      <w:r w:rsidR="006621E7">
        <w:t xml:space="preserve"> relevant</w:t>
      </w:r>
      <w:r w:rsidR="00B90FDE">
        <w:t xml:space="preserve"> term differs from ours – as evidence for his conclusions about topic continuity. </w:t>
      </w:r>
      <w:proofErr w:type="spellStart"/>
      <w:r w:rsidR="00B90FDE">
        <w:t>Cappelen</w:t>
      </w:r>
      <w:proofErr w:type="spellEnd"/>
      <w:r w:rsidR="00B90FDE">
        <w:t xml:space="preserve"> is on the right track here, but I think we should go</w:t>
      </w:r>
      <w:r w:rsidR="00F93BBE">
        <w:t xml:space="preserve"> much</w:t>
      </w:r>
      <w:r w:rsidR="00B90FDE">
        <w:t xml:space="preserve"> further. If we are going to extrapolate conclusions about </w:t>
      </w:r>
      <w:r w:rsidR="00882701">
        <w:t xml:space="preserve">the nature of </w:t>
      </w:r>
      <w:r w:rsidR="009902CD">
        <w:t xml:space="preserve">topic continuity and </w:t>
      </w:r>
      <w:r w:rsidR="00882701">
        <w:t xml:space="preserve">conceptual change </w:t>
      </w:r>
      <w:r w:rsidR="00B90FDE">
        <w:t xml:space="preserve">from our actual practices surrounding </w:t>
      </w:r>
      <w:proofErr w:type="spellStart"/>
      <w:r w:rsidR="00B90FDE">
        <w:t>samesaying</w:t>
      </w:r>
      <w:proofErr w:type="spellEnd"/>
      <w:r w:rsidR="00B90FDE">
        <w:t>, then we ne</w:t>
      </w:r>
      <w:r w:rsidR="00882701">
        <w:t>ed to make sure we have an in-depth account of</w:t>
      </w:r>
      <w:r w:rsidR="00B90FDE">
        <w:t xml:space="preserve"> these practices.</w:t>
      </w:r>
    </w:p>
    <w:p w14:paraId="6F7775B7" w14:textId="77777777" w:rsidR="006621E7" w:rsidRDefault="00B90FDE" w:rsidP="00644F50">
      <w:pPr>
        <w:ind w:firstLine="720"/>
      </w:pPr>
      <w:r>
        <w:t xml:space="preserve">My position in the remainder of this paper will be that both Sawyer and </w:t>
      </w:r>
      <w:proofErr w:type="spellStart"/>
      <w:r>
        <w:t>Cappelen</w:t>
      </w:r>
      <w:proofErr w:type="spellEnd"/>
      <w:r>
        <w:t xml:space="preserve"> have failed to appreciate the </w:t>
      </w:r>
      <w:r w:rsidR="006621E7">
        <w:t>full complexity of</w:t>
      </w:r>
      <w:r w:rsidR="00F73907">
        <w:t xml:space="preserve"> and variability of</w:t>
      </w:r>
      <w:r w:rsidR="006621E7">
        <w:t xml:space="preserve"> our </w:t>
      </w:r>
      <w:proofErr w:type="spellStart"/>
      <w:r w:rsidR="006621E7">
        <w:t>samesaying</w:t>
      </w:r>
      <w:proofErr w:type="spellEnd"/>
      <w:r w:rsidR="006621E7">
        <w:t xml:space="preserve"> practices</w:t>
      </w:r>
      <w:r w:rsidR="00202B0D">
        <w:t>,</w:t>
      </w:r>
      <w:r w:rsidR="006621E7">
        <w:t xml:space="preserve"> and, as a result, </w:t>
      </w:r>
      <w:r w:rsidR="00202B0D">
        <w:t xml:space="preserve">they </w:t>
      </w:r>
      <w:r w:rsidR="00202B0D">
        <w:lastRenderedPageBreak/>
        <w:t xml:space="preserve">have jumped too quickly to their </w:t>
      </w:r>
      <w:proofErr w:type="spellStart"/>
      <w:r w:rsidR="00202B0D">
        <w:t>metasemant</w:t>
      </w:r>
      <w:r w:rsidR="001C51DB">
        <w:t>i</w:t>
      </w:r>
      <w:r w:rsidR="00202B0D">
        <w:t>c</w:t>
      </w:r>
      <w:proofErr w:type="spellEnd"/>
      <w:r w:rsidR="00202B0D">
        <w:t xml:space="preserve"> conclusions.</w:t>
      </w:r>
      <w:r w:rsidR="00F23F1E">
        <w:t xml:space="preserve"> </w:t>
      </w:r>
      <w:r w:rsidR="00B6717A">
        <w:t>Our assessments</w:t>
      </w:r>
      <w:r w:rsidR="00C11031">
        <w:t xml:space="preserve"> of </w:t>
      </w:r>
      <w:proofErr w:type="spellStart"/>
      <w:r w:rsidR="00C11031">
        <w:t>samesaying</w:t>
      </w:r>
      <w:proofErr w:type="spellEnd"/>
      <w:r w:rsidR="00C11031">
        <w:t xml:space="preserve"> and conceptual change</w:t>
      </w:r>
      <w:r w:rsidR="00F23F1E">
        <w:t xml:space="preserve"> should change, I argue, depending on the kinds of practices speakers are engaged in. </w:t>
      </w:r>
      <w:r w:rsidR="006621E7">
        <w:t xml:space="preserve">In the next section, I offer an alternative account of </w:t>
      </w:r>
      <w:r w:rsidR="00FA2B37">
        <w:t xml:space="preserve">how we </w:t>
      </w:r>
      <w:proofErr w:type="spellStart"/>
      <w:r w:rsidR="00FA2B37">
        <w:t>samesay</w:t>
      </w:r>
      <w:proofErr w:type="spellEnd"/>
      <w:r w:rsidR="00FA2B37">
        <w:t xml:space="preserve"> across</w:t>
      </w:r>
      <w:r w:rsidR="00BF719C">
        <w:t xml:space="preserve"> seemingly disparate</w:t>
      </w:r>
      <w:r w:rsidR="00FA2B37">
        <w:t xml:space="preserve"> understanding</w:t>
      </w:r>
      <w:r w:rsidR="00922DCC">
        <w:t>s</w:t>
      </w:r>
      <w:r w:rsidR="00FA2B37">
        <w:t xml:space="preserve"> that is fully practice-based. </w:t>
      </w:r>
      <w:r w:rsidR="006621E7">
        <w:t>In the third section, I offer an account</w:t>
      </w:r>
      <w:r w:rsidR="00FA2B37">
        <w:t xml:space="preserve"> of a </w:t>
      </w:r>
      <w:r w:rsidR="00A73CB9">
        <w:t xml:space="preserve">further </w:t>
      </w:r>
      <w:r w:rsidR="00FA2B37">
        <w:t xml:space="preserve">set of our linguistic practices surrounding </w:t>
      </w:r>
      <w:proofErr w:type="spellStart"/>
      <w:r w:rsidR="00FA2B37">
        <w:t>samesaying</w:t>
      </w:r>
      <w:proofErr w:type="spellEnd"/>
      <w:r w:rsidR="00FA2B37">
        <w:t xml:space="preserve"> that, in turn, produce</w:t>
      </w:r>
      <w:r w:rsidR="001207EB">
        <w:t>s</w:t>
      </w:r>
      <w:r w:rsidR="00FA2B37">
        <w:t xml:space="preserve"> different verdicts on questions of conceptual change.</w:t>
      </w:r>
    </w:p>
    <w:p w14:paraId="54EBE8A9" w14:textId="77777777" w:rsidR="006621E7" w:rsidRDefault="006621E7" w:rsidP="00B90FDE"/>
    <w:p w14:paraId="79498CE8" w14:textId="77777777" w:rsidR="00FA2B37" w:rsidRPr="00FA2B37" w:rsidRDefault="00FA2B37" w:rsidP="00FA2B37">
      <w:pPr>
        <w:pStyle w:val="ListParagraph"/>
        <w:numPr>
          <w:ilvl w:val="0"/>
          <w:numId w:val="2"/>
        </w:numPr>
        <w:rPr>
          <w:b/>
          <w:i/>
        </w:rPr>
      </w:pPr>
      <w:r>
        <w:rPr>
          <w:b/>
          <w:i/>
        </w:rPr>
        <w:t>Prospective externalism</w:t>
      </w:r>
    </w:p>
    <w:p w14:paraId="15AFA79B" w14:textId="77777777" w:rsidR="00FA2B37" w:rsidRDefault="00FA2B37" w:rsidP="00FA2B37">
      <w:pPr>
        <w:pStyle w:val="ListParagraph"/>
        <w:ind w:left="1080"/>
      </w:pPr>
    </w:p>
    <w:p w14:paraId="0EBD9A96" w14:textId="77777777" w:rsidR="00F84F17" w:rsidRDefault="00F84F17" w:rsidP="00220B28">
      <w:pPr>
        <w:ind w:firstLine="720"/>
      </w:pPr>
      <w:r>
        <w:t>In this section I will pres</w:t>
      </w:r>
      <w:r w:rsidR="00C11031">
        <w:t xml:space="preserve">ent an account of what I call a </w:t>
      </w:r>
      <w:r w:rsidRPr="00C11031">
        <w:rPr>
          <w:i/>
        </w:rPr>
        <w:t>prospective externalist</w:t>
      </w:r>
      <w:r>
        <w:t xml:space="preserve"> perspective </w:t>
      </w:r>
      <w:r w:rsidR="005A227C">
        <w:t xml:space="preserve">that we </w:t>
      </w:r>
      <w:r w:rsidR="00A64CF2">
        <w:t>often</w:t>
      </w:r>
      <w:r w:rsidR="005C1B4C">
        <w:t xml:space="preserve"> adopt</w:t>
      </w:r>
      <w:r w:rsidR="005A227C">
        <w:t xml:space="preserve"> when</w:t>
      </w:r>
      <w:r>
        <w:t xml:space="preserve"> we engage linguistically with others. We adopt this perspective whenever we are engaged in a dis</w:t>
      </w:r>
      <w:r w:rsidR="00B54627">
        <w:t>pute</w:t>
      </w:r>
      <w:r>
        <w:t xml:space="preserve"> over a particular concept or </w:t>
      </w:r>
      <w:r w:rsidR="00746FE9">
        <w:t>topic and a</w:t>
      </w:r>
      <w:r w:rsidR="005A227C">
        <w:t>re attempting to get that</w:t>
      </w:r>
      <w:r>
        <w:t xml:space="preserve"> concept</w:t>
      </w:r>
      <w:r w:rsidR="005310E3">
        <w:t>/</w:t>
      </w:r>
      <w:r w:rsidR="005A227C">
        <w:t>topic</w:t>
      </w:r>
      <w:r w:rsidR="005C1B4C">
        <w:t xml:space="preserve"> correct while </w:t>
      </w:r>
      <w:r w:rsidR="00746FE9">
        <w:t xml:space="preserve">taking </w:t>
      </w:r>
      <w:r>
        <w:t>ot</w:t>
      </w:r>
      <w:r w:rsidR="005A227C">
        <w:t>hers to be doing the same.</w:t>
      </w:r>
      <w:r w:rsidR="003416BB">
        <w:rPr>
          <w:rStyle w:val="FootnoteReference"/>
        </w:rPr>
        <w:footnoteReference w:id="4"/>
      </w:r>
      <w:r w:rsidR="003416BB">
        <w:t xml:space="preserve"> </w:t>
      </w:r>
      <w:r w:rsidR="00F01956">
        <w:t>In adopting this</w:t>
      </w:r>
      <w:r>
        <w:t xml:space="preserve"> perspective,</w:t>
      </w:r>
      <w:r w:rsidR="00F01956">
        <w:t xml:space="preserve"> we </w:t>
      </w:r>
      <w:r w:rsidR="00C662BE">
        <w:t>assume there is</w:t>
      </w:r>
      <w:r w:rsidR="00F97AC7">
        <w:t xml:space="preserve"> </w:t>
      </w:r>
      <w:r w:rsidR="00C662BE">
        <w:t>“</w:t>
      </w:r>
      <w:r w:rsidR="00F97AC7" w:rsidRPr="00F97AC7">
        <w:t>something</w:t>
      </w:r>
      <w:r w:rsidR="00C662BE">
        <w:t>”</w:t>
      </w:r>
      <w:r w:rsidR="00F97AC7">
        <w:t xml:space="preserve"> in the world that corresponds to </w:t>
      </w:r>
      <w:r w:rsidR="00F01956">
        <w:t>wh</w:t>
      </w:r>
      <w:r w:rsidR="00F97AC7">
        <w:t>at</w:t>
      </w:r>
      <w:r w:rsidR="00F01956">
        <w:t xml:space="preserve"> our own understanding and the understandings of other speakers are attempting to capture</w:t>
      </w:r>
      <w:r w:rsidR="003F0530">
        <w:t xml:space="preserve"> </w:t>
      </w:r>
      <w:r w:rsidR="00F01956">
        <w:t xml:space="preserve">and to which we are all accountable. </w:t>
      </w:r>
      <w:r w:rsidR="00BD56BF">
        <w:t>As long as I take up a prospective exte</w:t>
      </w:r>
      <w:r w:rsidR="005F63E1">
        <w:t>rnalist perspective, I</w:t>
      </w:r>
      <w:r w:rsidR="008D3666">
        <w:t xml:space="preserve"> treat other speakers who articulate </w:t>
      </w:r>
      <w:r w:rsidR="00100469">
        <w:t xml:space="preserve">seemingly </w:t>
      </w:r>
      <w:r w:rsidR="008D3666">
        <w:t xml:space="preserve">incompatible or contradictory formulations of the concept or topic in question as nonetheless </w:t>
      </w:r>
      <w:proofErr w:type="spellStart"/>
      <w:r w:rsidR="008D3666">
        <w:t>samesaying</w:t>
      </w:r>
      <w:proofErr w:type="spellEnd"/>
      <w:r w:rsidR="008D3666">
        <w:t xml:space="preserve"> because I will take</w:t>
      </w:r>
      <w:r w:rsidR="00746FE9">
        <w:t xml:space="preserve"> them to have a </w:t>
      </w:r>
      <w:r w:rsidR="00746FE9">
        <w:rPr>
          <w:i/>
        </w:rPr>
        <w:t>mistaken</w:t>
      </w:r>
      <w:r w:rsidR="00746FE9">
        <w:t xml:space="preserve"> understanding of the same concept/topic, the same “something”, which I take myself to be correctly capturing.</w:t>
      </w:r>
      <w:r w:rsidR="00B95518">
        <w:rPr>
          <w:rStyle w:val="FootnoteReference"/>
        </w:rPr>
        <w:footnoteReference w:id="5"/>
      </w:r>
    </w:p>
    <w:p w14:paraId="1AE02597" w14:textId="77777777" w:rsidR="00B6717A" w:rsidRDefault="00B6717A" w:rsidP="008C76B1">
      <w:pPr>
        <w:ind w:firstLine="720"/>
      </w:pPr>
      <w:r>
        <w:t xml:space="preserve">First, a clarification on </w:t>
      </w:r>
      <w:r w:rsidR="00100469">
        <w:t>‘</w:t>
      </w:r>
      <w:proofErr w:type="gramStart"/>
      <w:r>
        <w:t>perspective</w:t>
      </w:r>
      <w:r w:rsidR="0008028D">
        <w:t>s</w:t>
      </w:r>
      <w:r w:rsidR="00100469">
        <w:t>’</w:t>
      </w:r>
      <w:proofErr w:type="gramEnd"/>
      <w:r>
        <w:t>.</w:t>
      </w:r>
      <w:r w:rsidR="0008028D">
        <w:t xml:space="preserve"> </w:t>
      </w:r>
      <w:r>
        <w:t xml:space="preserve">By </w:t>
      </w:r>
      <w:r w:rsidR="00100469">
        <w:t>‘</w:t>
      </w:r>
      <w:r>
        <w:t>perspective</w:t>
      </w:r>
      <w:r w:rsidR="00100469">
        <w:t>’</w:t>
      </w:r>
      <w:r>
        <w:t xml:space="preserve">, I mean </w:t>
      </w:r>
      <w:r w:rsidR="00F94840">
        <w:t>a specific way of approaching, engaging with, or relating to the linguistic behavior of other speakers</w:t>
      </w:r>
      <w:r w:rsidR="00185D85">
        <w:t xml:space="preserve">. </w:t>
      </w:r>
      <w:r w:rsidR="00E10E7F">
        <w:t xml:space="preserve">A perspective </w:t>
      </w:r>
      <w:r w:rsidR="00195FBB">
        <w:t xml:space="preserve">in this sense is similar to </w:t>
      </w:r>
      <w:r w:rsidR="00E10E7F">
        <w:t>a lens</w:t>
      </w:r>
      <w:r w:rsidR="0088066C">
        <w:t xml:space="preserve">: </w:t>
      </w:r>
      <w:r w:rsidR="009D23CC">
        <w:t>it</w:t>
      </w:r>
      <w:r w:rsidR="0088066C">
        <w:t xml:space="preserve"> frame</w:t>
      </w:r>
      <w:r w:rsidR="009D23CC">
        <w:t>s</w:t>
      </w:r>
      <w:r w:rsidR="0088066C">
        <w:t xml:space="preserve"> how the linguistic behavior of other speakers show up to you</w:t>
      </w:r>
      <w:r w:rsidR="009D23CC">
        <w:t xml:space="preserve"> and how you then go on to interact </w:t>
      </w:r>
      <w:r w:rsidR="002831FB">
        <w:t xml:space="preserve">linguistically </w:t>
      </w:r>
      <w:r w:rsidR="009D23CC">
        <w:t>with others (what sort of linguistic practices you go on to engage in)</w:t>
      </w:r>
      <w:r w:rsidR="0088066C">
        <w:t>. Perspectives, as I will understand them,</w:t>
      </w:r>
      <w:r w:rsidR="00185D85">
        <w:t xml:space="preserve"> need not be intent</w:t>
      </w:r>
      <w:r w:rsidR="0088066C">
        <w:t>ionally taken up. We may not even be aware that we are occupying a particular perspective. (In fact, I will argue that this is something quite a few philosophers have not been aware of.)</w:t>
      </w:r>
      <w:r w:rsidR="009934C5">
        <w:rPr>
          <w:rStyle w:val="FootnoteReference"/>
        </w:rPr>
        <w:footnoteReference w:id="6"/>
      </w:r>
      <w:r w:rsidR="00E10E7F">
        <w:t xml:space="preserve"> </w:t>
      </w:r>
      <w:r w:rsidR="00A64CF2">
        <w:t xml:space="preserve">This account of </w:t>
      </w:r>
      <w:r w:rsidR="00100469">
        <w:t>‘</w:t>
      </w:r>
      <w:r w:rsidR="00A64CF2">
        <w:t>perspective</w:t>
      </w:r>
      <w:r w:rsidR="00100469">
        <w:t>’</w:t>
      </w:r>
      <w:r w:rsidR="00A64CF2">
        <w:t xml:space="preserve"> is intended to be non-controversial. What other philosophers, such as Dennett and </w:t>
      </w:r>
      <w:r w:rsidR="008E7DC4">
        <w:t>v</w:t>
      </w:r>
      <w:r w:rsidR="00A64CF2">
        <w:t xml:space="preserve">an </w:t>
      </w:r>
      <w:proofErr w:type="spellStart"/>
      <w:r w:rsidR="00A64CF2">
        <w:t>Fraassen</w:t>
      </w:r>
      <w:proofErr w:type="spellEnd"/>
      <w:r w:rsidR="00A64CF2">
        <w:t xml:space="preserve">, have called “stances” would work equally well for my purposes, though I use different terminology to avoid the impression that I am assuming any of their </w:t>
      </w:r>
      <w:r w:rsidR="000A0C68">
        <w:t xml:space="preserve">specific </w:t>
      </w:r>
      <w:r w:rsidR="00A64CF2">
        <w:t>commitments for the sake of this discussion.</w:t>
      </w:r>
      <w:r w:rsidR="00A64CF2">
        <w:rPr>
          <w:rStyle w:val="FootnoteReference"/>
        </w:rPr>
        <w:footnoteReference w:id="7"/>
      </w:r>
      <w:r w:rsidR="00A64CF2">
        <w:t xml:space="preserve"> </w:t>
      </w:r>
      <w:r w:rsidR="00E10E7F">
        <w:t>I turn now</w:t>
      </w:r>
      <w:r w:rsidR="004E523E">
        <w:t xml:space="preserve"> </w:t>
      </w:r>
      <w:r w:rsidR="00E10E7F">
        <w:t>to the first perspective</w:t>
      </w:r>
      <w:r w:rsidR="00C16A86">
        <w:t xml:space="preserve"> I will highlight that</w:t>
      </w:r>
      <w:r w:rsidR="00E10E7F">
        <w:t xml:space="preserve"> we</w:t>
      </w:r>
      <w:r w:rsidR="002831FB">
        <w:t xml:space="preserve"> can</w:t>
      </w:r>
      <w:r w:rsidR="00E10E7F">
        <w:t xml:space="preserve"> adopt on our linguistic behavior</w:t>
      </w:r>
      <w:r w:rsidR="00C16A86">
        <w:t xml:space="preserve"> </w:t>
      </w:r>
      <w:r w:rsidR="008C76B1">
        <w:t xml:space="preserve">– </w:t>
      </w:r>
      <w:r w:rsidR="002831FB">
        <w:t>the</w:t>
      </w:r>
      <w:r w:rsidR="008C76B1">
        <w:t xml:space="preserve"> prospective externalist perspective.</w:t>
      </w:r>
    </w:p>
    <w:p w14:paraId="240ED511" w14:textId="77777777" w:rsidR="00F73907" w:rsidRDefault="00E51AA5" w:rsidP="00EE5F3D">
      <w:pPr>
        <w:ind w:firstLine="720"/>
      </w:pPr>
      <w:r>
        <w:t xml:space="preserve">To bring </w:t>
      </w:r>
      <w:r w:rsidR="008C76B1">
        <w:t>this</w:t>
      </w:r>
      <w:r>
        <w:t xml:space="preserve"> perspective into view, it will be helpful to begin with </w:t>
      </w:r>
      <w:r w:rsidR="00EE5F3D">
        <w:t xml:space="preserve">simpler </w:t>
      </w:r>
      <w:r>
        <w:t xml:space="preserve">cases of </w:t>
      </w:r>
      <w:proofErr w:type="spellStart"/>
      <w:r>
        <w:t>samesaying</w:t>
      </w:r>
      <w:proofErr w:type="spellEnd"/>
      <w:r>
        <w:t xml:space="preserve"> </w:t>
      </w:r>
      <w:r w:rsidR="00EE5F3D">
        <w:t xml:space="preserve">in order to build up to more complex cases where speakers </w:t>
      </w:r>
      <w:r w:rsidR="00220B28">
        <w:t>diverge in more pronounced ways</w:t>
      </w:r>
      <w:r>
        <w:t xml:space="preserve">. </w:t>
      </w:r>
      <w:r w:rsidR="00EE5F3D">
        <w:t xml:space="preserve">Consider </w:t>
      </w:r>
      <w:r w:rsidR="00C45943">
        <w:t>the following case</w:t>
      </w:r>
      <w:r w:rsidR="00EE5F3D">
        <w:t>:</w:t>
      </w:r>
      <w:r w:rsidR="009825AC">
        <w:t xml:space="preserve"> I have a colleague who </w:t>
      </w:r>
      <w:r w:rsidR="003E3609">
        <w:t xml:space="preserve">I know </w:t>
      </w:r>
      <w:r w:rsidR="00F713D5">
        <w:t>cares a great deal about</w:t>
      </w:r>
      <w:r w:rsidR="003E3609">
        <w:t xml:space="preserve"> coffee. S</w:t>
      </w:r>
      <w:r w:rsidR="002D52B2">
        <w:t xml:space="preserve">he knows all about different kinds of beans, different styles of preparation, and different brands. We have talked about coffee before, and I have explained that I know little about </w:t>
      </w:r>
      <w:r w:rsidR="008541C9">
        <w:t>it: I drink coffee</w:t>
      </w:r>
      <w:r w:rsidR="002D52B2">
        <w:t xml:space="preserve"> </w:t>
      </w:r>
      <w:r w:rsidR="002D52B2">
        <w:lastRenderedPageBreak/>
        <w:t>to wake up in the morning and purchase the least expensive, generic type from the store.</w:t>
      </w:r>
      <w:r w:rsidR="00504D5F">
        <w:rPr>
          <w:rStyle w:val="FootnoteReference"/>
        </w:rPr>
        <w:footnoteReference w:id="8"/>
      </w:r>
      <w:r w:rsidR="002D52B2">
        <w:t xml:space="preserve"> We are both in the department kitchen, and I see her brewing a fresh pot. She turns to me and asks if I would like a cup of coffee when she is finished. I say yes.</w:t>
      </w:r>
    </w:p>
    <w:p w14:paraId="6810C464" w14:textId="77777777" w:rsidR="00B976B0" w:rsidRDefault="00283489" w:rsidP="00B976B0">
      <w:pPr>
        <w:ind w:firstLine="720"/>
      </w:pPr>
      <w:r>
        <w:t xml:space="preserve">In this case, we have two speakers who have </w:t>
      </w:r>
      <w:r w:rsidR="00E72238">
        <w:t>very different understandings of a certain subject matter who nonetheless</w:t>
      </w:r>
      <w:r>
        <w:t xml:space="preserve"> </w:t>
      </w:r>
      <w:r w:rsidR="00E72238">
        <w:t xml:space="preserve">manage to </w:t>
      </w:r>
      <w:proofErr w:type="spellStart"/>
      <w:r w:rsidR="00E72238">
        <w:t>samesay</w:t>
      </w:r>
      <w:proofErr w:type="spellEnd"/>
      <w:r w:rsidR="00E72238">
        <w:t xml:space="preserve"> regarding this subject matter. One explanation might be that despite the </w:t>
      </w:r>
      <w:r w:rsidR="00563372">
        <w:t>differences</w:t>
      </w:r>
      <w:r w:rsidR="00E72238">
        <w:t xml:space="preserve"> in our understandings, there is a certain</w:t>
      </w:r>
      <w:r w:rsidR="008541C9">
        <w:t xml:space="preserve"> shared</w:t>
      </w:r>
      <w:r w:rsidR="00E72238">
        <w:t xml:space="preserve"> content that we each associate with </w:t>
      </w:r>
      <w:r w:rsidR="007F7EDA">
        <w:t>‘coffee’</w:t>
      </w:r>
      <w:r w:rsidR="008541C9">
        <w:t xml:space="preserve"> that </w:t>
      </w:r>
      <w:r w:rsidR="00E72238">
        <w:t xml:space="preserve">binds us together as </w:t>
      </w:r>
      <w:proofErr w:type="spellStart"/>
      <w:r w:rsidR="00E72238">
        <w:t>samesaying</w:t>
      </w:r>
      <w:proofErr w:type="spellEnd"/>
      <w:r w:rsidR="00E72238">
        <w:t xml:space="preserve"> – for example, that coffee is a drink, that it looks a certain way, that it is the kind of thing we find in a kitchen, etc. But</w:t>
      </w:r>
      <w:r w:rsidR="001207EB">
        <w:t xml:space="preserve"> now consider that</w:t>
      </w:r>
      <w:r w:rsidR="00E72238">
        <w:t xml:space="preserve"> for any particular assumption we might </w:t>
      </w:r>
      <w:r w:rsidR="003F0530">
        <w:t>initially think is</w:t>
      </w:r>
      <w:r w:rsidR="003521B0">
        <w:t xml:space="preserve"> </w:t>
      </w:r>
      <w:r w:rsidR="00C11031">
        <w:t xml:space="preserve">necessary </w:t>
      </w:r>
      <w:r w:rsidR="003521B0">
        <w:t xml:space="preserve">for counting </w:t>
      </w:r>
      <w:r w:rsidR="008541C9">
        <w:t xml:space="preserve">as </w:t>
      </w:r>
      <w:r w:rsidR="00B452CC">
        <w:t>talking or thinking about</w:t>
      </w:r>
      <w:r w:rsidR="008541C9">
        <w:t xml:space="preserve"> coffee, it seems possible we can imagine an interlocutor who does not </w:t>
      </w:r>
      <w:r w:rsidR="00857D14">
        <w:t>subscribe to this assumption but</w:t>
      </w:r>
      <w:r w:rsidR="008541C9">
        <w:t xml:space="preserve"> who</w:t>
      </w:r>
      <w:r w:rsidR="00B452CC">
        <w:t>m</w:t>
      </w:r>
      <w:r w:rsidR="008541C9">
        <w:t xml:space="preserve"> we</w:t>
      </w:r>
      <w:r w:rsidR="00B452CC">
        <w:t xml:space="preserve"> </w:t>
      </w:r>
      <w:r w:rsidR="008541C9">
        <w:t xml:space="preserve">nonetheless count as </w:t>
      </w:r>
      <w:proofErr w:type="spellStart"/>
      <w:r w:rsidR="008541C9">
        <w:t>samesaying</w:t>
      </w:r>
      <w:proofErr w:type="spellEnd"/>
      <w:r w:rsidR="008541C9">
        <w:t xml:space="preserve"> with us. If, fo</w:t>
      </w:r>
      <w:r w:rsidR="00EE2B3D">
        <w:t>r example, another speaker has</w:t>
      </w:r>
      <w:r w:rsidR="00397078">
        <w:t xml:space="preserve"> strange views about the </w:t>
      </w:r>
      <w:r w:rsidR="00B452CC">
        <w:t>color of coffee or claimed that coffee was not a drink, our initial response would likely be to correct that speaker</w:t>
      </w:r>
      <w:r w:rsidR="003521B0">
        <w:t xml:space="preserve">. </w:t>
      </w:r>
      <w:r w:rsidR="00EE2B3D">
        <w:t>And t</w:t>
      </w:r>
      <w:r w:rsidR="00857D14">
        <w:t>o</w:t>
      </w:r>
      <w:r w:rsidR="003521B0">
        <w:t xml:space="preserve"> correct a speaker is</w:t>
      </w:r>
      <w:r w:rsidR="00B452CC">
        <w:t xml:space="preserve"> to take them to have the same subject matter in mind, but to be mistaken about </w:t>
      </w:r>
      <w:r w:rsidR="003521B0">
        <w:t>it</w:t>
      </w:r>
      <w:r w:rsidR="00857D14">
        <w:t xml:space="preserve">, rather than to </w:t>
      </w:r>
      <w:r w:rsidR="00EE2B3D">
        <w:t>view</w:t>
      </w:r>
      <w:r w:rsidR="00857D14">
        <w:t xml:space="preserve"> them as talking about something else altogether</w:t>
      </w:r>
      <w:r w:rsidR="00B452CC">
        <w:t>. Of course, this default</w:t>
      </w:r>
      <w:r w:rsidR="003F0530">
        <w:t xml:space="preserve"> and initial</w:t>
      </w:r>
      <w:r w:rsidR="00B452CC">
        <w:t xml:space="preserve"> judgment can be defeated. If another speaker says that coffee is</w:t>
      </w:r>
      <w:r w:rsidR="003521B0">
        <w:t xml:space="preserve">, </w:t>
      </w:r>
      <w:r w:rsidR="00872A77">
        <w:t>say</w:t>
      </w:r>
      <w:r w:rsidR="003521B0">
        <w:t>,</w:t>
      </w:r>
      <w:r w:rsidR="00B452CC">
        <w:t xml:space="preserve"> a </w:t>
      </w:r>
      <w:r w:rsidR="00B976B0">
        <w:t xml:space="preserve">kind of car, then we will conclude that </w:t>
      </w:r>
      <w:r w:rsidR="003521B0">
        <w:t xml:space="preserve">they </w:t>
      </w:r>
      <w:r w:rsidR="00B976B0">
        <w:t>are just talking about something else when they use the word</w:t>
      </w:r>
      <w:r w:rsidR="003521B0">
        <w:t xml:space="preserve"> – that we are not </w:t>
      </w:r>
      <w:proofErr w:type="spellStart"/>
      <w:r w:rsidR="003521B0">
        <w:t>samesaying</w:t>
      </w:r>
      <w:proofErr w:type="spellEnd"/>
      <w:r w:rsidR="003521B0">
        <w:t xml:space="preserve"> with them</w:t>
      </w:r>
      <w:r w:rsidR="00B976B0">
        <w:t>.</w:t>
      </w:r>
    </w:p>
    <w:p w14:paraId="664B1AA6" w14:textId="77777777" w:rsidR="008007F2" w:rsidRPr="00433B2D" w:rsidRDefault="00B976B0" w:rsidP="00105CA0">
      <w:pPr>
        <w:ind w:firstLine="720"/>
        <w:rPr>
          <w:szCs w:val="24"/>
        </w:rPr>
      </w:pPr>
      <w:r>
        <w:t xml:space="preserve">Laura and </w:t>
      </w:r>
      <w:r w:rsidRPr="00B976B0">
        <w:rPr>
          <w:szCs w:val="24"/>
        </w:rPr>
        <w:t>Franç</w:t>
      </w:r>
      <w:r>
        <w:t xml:space="preserve">ois </w:t>
      </w:r>
      <w:proofErr w:type="spellStart"/>
      <w:r>
        <w:t>Schroeter</w:t>
      </w:r>
      <w:proofErr w:type="spellEnd"/>
      <w:r>
        <w:t xml:space="preserve"> have argued in various papers that </w:t>
      </w:r>
      <w:r w:rsidR="003521B0">
        <w:t>our theories of meaning should center this ph</w:t>
      </w:r>
      <w:r w:rsidR="003A2D29">
        <w:t xml:space="preserve">enomenological datum that when </w:t>
      </w:r>
      <w:r w:rsidR="00035B90">
        <w:t>we communicate</w:t>
      </w:r>
      <w:r w:rsidR="003A2D29">
        <w:t xml:space="preserve"> with other speakers,</w:t>
      </w:r>
      <w:r w:rsidR="003521B0">
        <w:t xml:space="preserve"> our default </w:t>
      </w:r>
      <w:r w:rsidR="003A2D29">
        <w:t xml:space="preserve">assumption is that they are </w:t>
      </w:r>
      <w:proofErr w:type="spellStart"/>
      <w:r w:rsidR="003A2D29">
        <w:t>samesaying</w:t>
      </w:r>
      <w:proofErr w:type="spellEnd"/>
      <w:r w:rsidR="003A2D29">
        <w:t xml:space="preserve"> with us – that they mean the same thing by their words as we do</w:t>
      </w:r>
      <w:r w:rsidR="008007F2">
        <w:t xml:space="preserve"> (</w:t>
      </w:r>
      <w:proofErr w:type="spellStart"/>
      <w:r w:rsidR="008007F2">
        <w:t>Schroeter</w:t>
      </w:r>
      <w:proofErr w:type="spellEnd"/>
      <w:r w:rsidR="008007F2">
        <w:t xml:space="preserve"> and Bigelow 2009; </w:t>
      </w:r>
      <w:proofErr w:type="spellStart"/>
      <w:r w:rsidR="008007F2">
        <w:t>Schroeter</w:t>
      </w:r>
      <w:proofErr w:type="spellEnd"/>
      <w:r w:rsidR="008007F2">
        <w:t xml:space="preserve"> 2012; </w:t>
      </w:r>
      <w:proofErr w:type="spellStart"/>
      <w:r w:rsidR="008007F2">
        <w:t>Schroeter</w:t>
      </w:r>
      <w:proofErr w:type="spellEnd"/>
      <w:r w:rsidR="008007F2">
        <w:t xml:space="preserve"> and </w:t>
      </w:r>
      <w:proofErr w:type="spellStart"/>
      <w:r w:rsidR="008007F2">
        <w:t>Schroeter</w:t>
      </w:r>
      <w:proofErr w:type="spellEnd"/>
      <w:r w:rsidR="008007F2">
        <w:t xml:space="preserve"> 2014; </w:t>
      </w:r>
      <w:proofErr w:type="spellStart"/>
      <w:r w:rsidR="004B233F">
        <w:t>Schroeter</w:t>
      </w:r>
      <w:proofErr w:type="spellEnd"/>
      <w:r w:rsidR="004B233F">
        <w:t xml:space="preserve"> and </w:t>
      </w:r>
      <w:proofErr w:type="spellStart"/>
      <w:r w:rsidR="008007F2">
        <w:t>Schroeter</w:t>
      </w:r>
      <w:proofErr w:type="spellEnd"/>
      <w:r w:rsidR="008007F2">
        <w:t xml:space="preserve"> 2015)</w:t>
      </w:r>
      <w:r w:rsidR="003A2D29">
        <w:t xml:space="preserve">. </w:t>
      </w:r>
      <w:r w:rsidR="002C7835">
        <w:t xml:space="preserve">The </w:t>
      </w:r>
      <w:proofErr w:type="spellStart"/>
      <w:r w:rsidR="002C7835">
        <w:t>Schroeters</w:t>
      </w:r>
      <w:proofErr w:type="spellEnd"/>
      <w:r w:rsidR="002C7835">
        <w:t xml:space="preserve"> develop their view by criticizing d</w:t>
      </w:r>
      <w:r w:rsidR="000A2519">
        <w:t>escriptivist</w:t>
      </w:r>
      <w:r w:rsidR="00C36E93">
        <w:t xml:space="preserve"> and</w:t>
      </w:r>
      <w:r w:rsidR="00A27008">
        <w:t xml:space="preserve"> neo-descriptivist views of meaning</w:t>
      </w:r>
      <w:r w:rsidR="002C7835">
        <w:t xml:space="preserve"> that</w:t>
      </w:r>
      <w:r w:rsidR="00A27008">
        <w:t xml:space="preserve"> take </w:t>
      </w:r>
      <w:r w:rsidR="00035B90">
        <w:t>the properties we associate with a particular term to determine the meaning of that term</w:t>
      </w:r>
      <w:r w:rsidR="000A2519">
        <w:t xml:space="preserve">. </w:t>
      </w:r>
      <w:r w:rsidR="002C7835">
        <w:t>The</w:t>
      </w:r>
      <w:r w:rsidR="00035B90">
        <w:t xml:space="preserve"> </w:t>
      </w:r>
      <w:proofErr w:type="spellStart"/>
      <w:r w:rsidR="00035B90">
        <w:t>Schroeters</w:t>
      </w:r>
      <w:proofErr w:type="spellEnd"/>
      <w:r w:rsidR="00105CA0">
        <w:t>’</w:t>
      </w:r>
      <w:r w:rsidR="00035B90">
        <w:t xml:space="preserve"> “connectedness” model of meaning</w:t>
      </w:r>
      <w:r w:rsidR="002C7835">
        <w:t>, by contrast,</w:t>
      </w:r>
      <w:r w:rsidR="00035B90">
        <w:t xml:space="preserve"> </w:t>
      </w:r>
      <w:r w:rsidR="00D960AC">
        <w:t xml:space="preserve">argues that we can only comfortably accommodate the substantial latitude we grant other speakers </w:t>
      </w:r>
      <w:r w:rsidR="008007F2">
        <w:rPr>
          <w:szCs w:val="24"/>
        </w:rPr>
        <w:t xml:space="preserve">in their use of a term without taking this latitude to defeat our judgments </w:t>
      </w:r>
      <w:r w:rsidR="00D960AC">
        <w:rPr>
          <w:szCs w:val="24"/>
        </w:rPr>
        <w:t xml:space="preserve">of </w:t>
      </w:r>
      <w:proofErr w:type="spellStart"/>
      <w:r w:rsidR="00D960AC">
        <w:rPr>
          <w:szCs w:val="24"/>
        </w:rPr>
        <w:t>samesaying</w:t>
      </w:r>
      <w:proofErr w:type="spellEnd"/>
      <w:r w:rsidR="00D960AC">
        <w:rPr>
          <w:szCs w:val="24"/>
        </w:rPr>
        <w:t xml:space="preserve"> if we</w:t>
      </w:r>
      <w:r w:rsidR="00314220">
        <w:rPr>
          <w:szCs w:val="24"/>
        </w:rPr>
        <w:t xml:space="preserve"> </w:t>
      </w:r>
      <w:r w:rsidR="00433B2D">
        <w:rPr>
          <w:szCs w:val="24"/>
        </w:rPr>
        <w:t xml:space="preserve">take the phenomenological </w:t>
      </w:r>
      <w:r w:rsidR="00433B2D" w:rsidRPr="00433B2D">
        <w:rPr>
          <w:szCs w:val="24"/>
        </w:rPr>
        <w:t>appearance</w:t>
      </w:r>
      <w:r w:rsidR="00781FF2">
        <w:rPr>
          <w:szCs w:val="24"/>
        </w:rPr>
        <w:t xml:space="preserve"> of </w:t>
      </w:r>
      <w:proofErr w:type="spellStart"/>
      <w:r w:rsidR="00781FF2">
        <w:rPr>
          <w:szCs w:val="24"/>
        </w:rPr>
        <w:t>samesaying</w:t>
      </w:r>
      <w:proofErr w:type="spellEnd"/>
      <w:r w:rsidR="00105CA0">
        <w:rPr>
          <w:szCs w:val="24"/>
        </w:rPr>
        <w:t xml:space="preserve"> – rather than any determinate content –</w:t>
      </w:r>
      <w:r w:rsidR="00781FF2">
        <w:rPr>
          <w:szCs w:val="24"/>
        </w:rPr>
        <w:t xml:space="preserve"> to be primary</w:t>
      </w:r>
      <w:r w:rsidR="00433B2D">
        <w:rPr>
          <w:szCs w:val="24"/>
        </w:rPr>
        <w:t xml:space="preserve">. </w:t>
      </w:r>
      <w:r w:rsidR="008007F2">
        <w:rPr>
          <w:szCs w:val="24"/>
        </w:rPr>
        <w:t xml:space="preserve">The </w:t>
      </w:r>
      <w:proofErr w:type="spellStart"/>
      <w:r w:rsidR="008007F2">
        <w:rPr>
          <w:szCs w:val="24"/>
        </w:rPr>
        <w:t>Schroeters</w:t>
      </w:r>
      <w:proofErr w:type="spellEnd"/>
      <w:r w:rsidR="008007F2">
        <w:rPr>
          <w:szCs w:val="24"/>
        </w:rPr>
        <w:t xml:space="preserve"> summarize these aspects of their view as follows:</w:t>
      </w:r>
    </w:p>
    <w:p w14:paraId="6A4A48D7" w14:textId="77777777" w:rsidR="008007F2" w:rsidRDefault="008007F2" w:rsidP="008007F2"/>
    <w:p w14:paraId="3ED94795" w14:textId="77777777" w:rsidR="008007F2" w:rsidRPr="00312BB4" w:rsidRDefault="008007F2" w:rsidP="008007F2">
      <w:pPr>
        <w:ind w:left="720"/>
        <w:rPr>
          <w:rStyle w:val="A1"/>
          <w:sz w:val="22"/>
          <w:szCs w:val="22"/>
        </w:rPr>
      </w:pPr>
      <w:r w:rsidRPr="00312BB4">
        <w:rPr>
          <w:rFonts w:cs="Palatino nova"/>
          <w:color w:val="000000"/>
          <w:sz w:val="22"/>
        </w:rPr>
        <w:t xml:space="preserve">[I]n parsing another person’s speech, you automatically hear their use of a familiar English expression as pertaining </w:t>
      </w:r>
      <w:r w:rsidRPr="00312BB4">
        <w:rPr>
          <w:rFonts w:cs="Palatino nova"/>
          <w:i/>
          <w:iCs/>
          <w:color w:val="000000"/>
          <w:sz w:val="22"/>
        </w:rPr>
        <w:t xml:space="preserve">de jure </w:t>
      </w:r>
      <w:r w:rsidRPr="00312BB4">
        <w:rPr>
          <w:rFonts w:cs="Palatino nova"/>
          <w:color w:val="000000"/>
          <w:sz w:val="22"/>
        </w:rPr>
        <w:t xml:space="preserve">to the very same topic you yourself associate with that expression. Even if you think your interlocutor is saying something false when she says “This action is morally wrong”, you’ll immediately understand her as thinking and talking about the very same topic you yourself associate with the term </w:t>
      </w:r>
      <w:r w:rsidR="00EB2C21">
        <w:rPr>
          <w:rStyle w:val="A1"/>
          <w:sz w:val="22"/>
          <w:szCs w:val="22"/>
        </w:rPr>
        <w:t>‘morally wrong’…</w:t>
      </w:r>
      <w:r w:rsidRPr="00312BB4">
        <w:rPr>
          <w:rStyle w:val="A1"/>
          <w:sz w:val="22"/>
          <w:szCs w:val="22"/>
        </w:rPr>
        <w:t xml:space="preserve">Moreover, we take ourselves to be </w:t>
      </w:r>
      <w:r w:rsidRPr="00312BB4">
        <w:rPr>
          <w:rStyle w:val="A1"/>
          <w:i/>
          <w:iCs/>
          <w:sz w:val="22"/>
          <w:szCs w:val="22"/>
        </w:rPr>
        <w:t xml:space="preserve">de jure </w:t>
      </w:r>
      <w:proofErr w:type="spellStart"/>
      <w:r w:rsidRPr="00312BB4">
        <w:rPr>
          <w:rStyle w:val="A1"/>
          <w:sz w:val="22"/>
          <w:szCs w:val="22"/>
        </w:rPr>
        <w:t>samesaying</w:t>
      </w:r>
      <w:proofErr w:type="spellEnd"/>
      <w:r w:rsidRPr="00312BB4">
        <w:rPr>
          <w:rStyle w:val="A1"/>
          <w:sz w:val="22"/>
          <w:szCs w:val="22"/>
        </w:rPr>
        <w:t xml:space="preserve"> not just with our immediate acquaintances but also with those with whom our acquaintances take themselves to be </w:t>
      </w:r>
      <w:r w:rsidRPr="00312BB4">
        <w:rPr>
          <w:rStyle w:val="A1"/>
          <w:i/>
          <w:iCs/>
          <w:sz w:val="22"/>
          <w:szCs w:val="22"/>
        </w:rPr>
        <w:t xml:space="preserve">de jure </w:t>
      </w:r>
      <w:proofErr w:type="spellStart"/>
      <w:r w:rsidRPr="00312BB4">
        <w:rPr>
          <w:rStyle w:val="A1"/>
          <w:sz w:val="22"/>
          <w:szCs w:val="22"/>
        </w:rPr>
        <w:t>samesaying</w:t>
      </w:r>
      <w:proofErr w:type="spellEnd"/>
      <w:r w:rsidRPr="00312BB4">
        <w:rPr>
          <w:rStyle w:val="A1"/>
          <w:sz w:val="22"/>
          <w:szCs w:val="22"/>
        </w:rPr>
        <w:t xml:space="preserve">. As in the intrapersonal case, chains of apparent </w:t>
      </w:r>
      <w:r w:rsidRPr="00312BB4">
        <w:rPr>
          <w:rStyle w:val="A1"/>
          <w:i/>
          <w:iCs/>
          <w:sz w:val="22"/>
          <w:szCs w:val="22"/>
        </w:rPr>
        <w:t xml:space="preserve">de jure </w:t>
      </w:r>
      <w:r w:rsidRPr="00312BB4">
        <w:rPr>
          <w:rStyle w:val="A1"/>
          <w:sz w:val="22"/>
          <w:szCs w:val="22"/>
        </w:rPr>
        <w:t xml:space="preserve">sameness can be used to construct historically extended representational traditions: chains of apparent </w:t>
      </w:r>
      <w:r w:rsidRPr="00312BB4">
        <w:rPr>
          <w:rStyle w:val="A1"/>
          <w:i/>
          <w:iCs/>
          <w:sz w:val="22"/>
          <w:szCs w:val="22"/>
        </w:rPr>
        <w:t xml:space="preserve">de jure </w:t>
      </w:r>
      <w:proofErr w:type="spellStart"/>
      <w:r w:rsidRPr="00312BB4">
        <w:rPr>
          <w:rStyle w:val="A1"/>
          <w:sz w:val="22"/>
          <w:szCs w:val="22"/>
        </w:rPr>
        <w:t>samesaying</w:t>
      </w:r>
      <w:proofErr w:type="spellEnd"/>
      <w:r w:rsidRPr="00312BB4">
        <w:rPr>
          <w:rStyle w:val="A1"/>
          <w:sz w:val="22"/>
          <w:szCs w:val="22"/>
        </w:rPr>
        <w:t xml:space="preserve"> demarcate shared representational traditions within a given linguistic community (2014, 11-12).</w:t>
      </w:r>
    </w:p>
    <w:p w14:paraId="309BF30D" w14:textId="77777777" w:rsidR="00882701" w:rsidRDefault="00882701" w:rsidP="00C36E93"/>
    <w:p w14:paraId="69C7FDFB" w14:textId="77777777" w:rsidR="00C36E93" w:rsidRPr="00563DEF" w:rsidRDefault="00C36E93" w:rsidP="00C36E93">
      <w:r>
        <w:t xml:space="preserve">The </w:t>
      </w:r>
      <w:proofErr w:type="spellStart"/>
      <w:r>
        <w:t>Schroeters</w:t>
      </w:r>
      <w:proofErr w:type="spellEnd"/>
      <w:r>
        <w:t>’ point about “historically extended representational traditions”</w:t>
      </w:r>
      <w:r w:rsidR="00AD7DA4">
        <w:t xml:space="preserve"> here</w:t>
      </w:r>
      <w:r>
        <w:t xml:space="preserve"> is that </w:t>
      </w:r>
      <w:r w:rsidR="00563DEF">
        <w:t xml:space="preserve">not only do we assume that when an interlocutor uses a word that they have in mind the same meaning </w:t>
      </w:r>
      <w:r w:rsidR="00781FF2">
        <w:t>that we do;</w:t>
      </w:r>
      <w:r w:rsidR="00563DEF">
        <w:t xml:space="preserve"> we also assume that we are </w:t>
      </w:r>
      <w:proofErr w:type="spellStart"/>
      <w:r w:rsidR="00563DEF">
        <w:t>samesaying</w:t>
      </w:r>
      <w:proofErr w:type="spellEnd"/>
      <w:r w:rsidR="00563DEF">
        <w:t xml:space="preserve"> with an entire linguistic community of other speakers who use this word</w:t>
      </w:r>
      <w:r w:rsidR="007C1909">
        <w:t xml:space="preserve"> with</w:t>
      </w:r>
      <w:r w:rsidR="00563DEF">
        <w:t xml:space="preserve"> (what we assume is) the same meaning as we do. For </w:t>
      </w:r>
      <w:r w:rsidR="001135A7">
        <w:t>example, when I</w:t>
      </w:r>
      <w:r w:rsidR="00563DEF">
        <w:t xml:space="preserve"> </w:t>
      </w:r>
      <w:r w:rsidR="00563DEF">
        <w:lastRenderedPageBreak/>
        <w:t xml:space="preserve">respond that I would like a cup of coffee to my colleague, I do not take us to have generated a </w:t>
      </w:r>
      <w:r w:rsidR="00563DEF">
        <w:rPr>
          <w:i/>
        </w:rPr>
        <w:t>sui generis</w:t>
      </w:r>
      <w:r w:rsidR="00563DEF">
        <w:t xml:space="preserve"> concept that applies only in the immediate</w:t>
      </w:r>
      <w:r w:rsidR="001135A7">
        <w:t xml:space="preserve"> and ephemeral</w:t>
      </w:r>
      <w:r w:rsidR="00563DEF">
        <w:t xml:space="preserve"> context of our conversation; I take us to be </w:t>
      </w:r>
      <w:proofErr w:type="spellStart"/>
      <w:r w:rsidR="00E57FEA">
        <w:t>samesaying</w:t>
      </w:r>
      <w:proofErr w:type="spellEnd"/>
      <w:r w:rsidR="00E57FEA">
        <w:t xml:space="preserve"> with a community of past and present speakers</w:t>
      </w:r>
      <w:r w:rsidR="00563DEF">
        <w:t xml:space="preserve"> about something that is</w:t>
      </w:r>
      <w:r w:rsidR="00E57FEA">
        <w:t xml:space="preserve"> mutually</w:t>
      </w:r>
      <w:r w:rsidR="00563DEF">
        <w:t xml:space="preserve"> understood.</w:t>
      </w:r>
    </w:p>
    <w:p w14:paraId="3867723B" w14:textId="77777777" w:rsidR="008007F2" w:rsidRDefault="00563DEF" w:rsidP="00563DEF">
      <w:r>
        <w:tab/>
      </w:r>
      <w:r w:rsidR="001135A7">
        <w:t>The descriptivist</w:t>
      </w:r>
      <w:r w:rsidR="007F5D11">
        <w:t xml:space="preserve">, however, might </w:t>
      </w:r>
      <w:r w:rsidR="004E523E">
        <w:t>insist</w:t>
      </w:r>
      <w:r w:rsidR="007F5D11">
        <w:t xml:space="preserve"> that in cases such as my exchange with my colleague, there is </w:t>
      </w:r>
      <w:r w:rsidR="007F5D11" w:rsidRPr="004E523E">
        <w:rPr>
          <w:i/>
        </w:rPr>
        <w:t xml:space="preserve">always </w:t>
      </w:r>
      <w:r w:rsidR="001135A7">
        <w:t xml:space="preserve">a content shared among the relevant speakers that makes it so that they all count as </w:t>
      </w:r>
      <w:proofErr w:type="spellStart"/>
      <w:r w:rsidR="001135A7">
        <w:t>samesaying</w:t>
      </w:r>
      <w:proofErr w:type="spellEnd"/>
      <w:r w:rsidR="001135A7">
        <w:t xml:space="preserve">. </w:t>
      </w:r>
      <w:r w:rsidR="00127904">
        <w:t>Consider</w:t>
      </w:r>
      <w:r w:rsidR="001135A7">
        <w:t xml:space="preserve"> a case</w:t>
      </w:r>
      <w:r w:rsidR="00127904">
        <w:t>, then,</w:t>
      </w:r>
      <w:r w:rsidR="001135A7">
        <w:t xml:space="preserve"> where speakers make explicit that they understand a certain subject matter in incompatible ways:</w:t>
      </w:r>
    </w:p>
    <w:p w14:paraId="7396186C" w14:textId="77777777" w:rsidR="00FA2B37" w:rsidRDefault="00FA2B37" w:rsidP="001135A7"/>
    <w:p w14:paraId="6033E304" w14:textId="77777777" w:rsidR="00FA2B37" w:rsidRDefault="00FA2B37" w:rsidP="00FA2B37">
      <w:pPr>
        <w:ind w:left="720"/>
      </w:pPr>
      <w:r>
        <w:t>Larry and Jeff are at an art museum where they come across several abstract expressionist paintings. Larry says: “I really don’t get how these are art. I think what makes something art is whether it represents what the world is actually like and in a way that requires some unique skill. I feel like I could paint these, and I’m not</w:t>
      </w:r>
      <w:r w:rsidR="00476720">
        <w:t xml:space="preserve"> even</w:t>
      </w:r>
      <w:r>
        <w:t xml:space="preserve"> remotely artistic!” Jeff </w:t>
      </w:r>
      <w:r w:rsidR="00476720">
        <w:t xml:space="preserve">says: </w:t>
      </w:r>
      <w:r>
        <w:t>“I disagree. I don’t think art</w:t>
      </w:r>
      <w:r w:rsidR="00476720">
        <w:t xml:space="preserve"> only need</w:t>
      </w:r>
      <w:r w:rsidR="002D05C3">
        <w:t>s</w:t>
      </w:r>
      <w:r w:rsidR="00476720">
        <w:t xml:space="preserve"> to</w:t>
      </w:r>
      <w:r>
        <w:t xml:space="preserve"> represent how things actually are. I like that these are imaginative and don’t necessarily correspond to anything specific in the world; they intentionally evoke a whole range of feelings through the use of different materials, and that’s all I think something needs to do to count as art”</w:t>
      </w:r>
      <w:r w:rsidR="00563372">
        <w:t>.</w:t>
      </w:r>
      <w:r w:rsidR="00650451">
        <w:t xml:space="preserve"> Larry replies: “That can’t be right! </w:t>
      </w:r>
      <w:r w:rsidR="00B96A42">
        <w:t>Lots of things are intentionally made to give me a range of feelings, and they aren’t works of art”</w:t>
      </w:r>
      <w:r w:rsidR="00563372">
        <w:t>.</w:t>
      </w:r>
      <w:r w:rsidR="00B96A42">
        <w:t xml:space="preserve"> Jeff say</w:t>
      </w:r>
      <w:r w:rsidR="00563372">
        <w:t>s</w:t>
      </w:r>
      <w:r w:rsidR="00B96A42">
        <w:t>: “Why not? Especially given that we’ve often expanded our sense of what counts as art over time”</w:t>
      </w:r>
      <w:r w:rsidR="00563372">
        <w:t>.</w:t>
      </w:r>
    </w:p>
    <w:p w14:paraId="4198ECFD" w14:textId="77777777" w:rsidR="00FA2B37" w:rsidRDefault="00FA2B37" w:rsidP="00FA2B37"/>
    <w:p w14:paraId="22C88C44" w14:textId="77777777" w:rsidR="00FA2B37" w:rsidRPr="00285918" w:rsidRDefault="002B151D" w:rsidP="00FA2B37">
      <w:pPr>
        <w:rPr>
          <w:sz w:val="18"/>
          <w:szCs w:val="18"/>
        </w:rPr>
      </w:pPr>
      <w:r>
        <w:t xml:space="preserve">Unlike the coffee case, </w:t>
      </w:r>
      <w:r w:rsidR="00FA2B37">
        <w:t xml:space="preserve">Larry and Jeff </w:t>
      </w:r>
      <w:r w:rsidR="0049445E">
        <w:t>make their</w:t>
      </w:r>
      <w:r w:rsidR="00FA2B37">
        <w:t xml:space="preserve"> different understandings of </w:t>
      </w:r>
      <w:r w:rsidR="002D05C3">
        <w:t>the concept of art</w:t>
      </w:r>
      <w:r w:rsidR="0049445E">
        <w:t xml:space="preserve"> explicit: </w:t>
      </w:r>
      <w:r w:rsidR="00FA2B37">
        <w:t xml:space="preserve">Larry says that, on his understanding, </w:t>
      </w:r>
      <w:r w:rsidR="00100469">
        <w:t>anything we call ‘art’</w:t>
      </w:r>
      <w:r w:rsidR="00285918">
        <w:t xml:space="preserve"> must </w:t>
      </w:r>
      <w:r w:rsidR="00100469">
        <w:t xml:space="preserve">aim to </w:t>
      </w:r>
      <w:r w:rsidR="00285918" w:rsidRPr="00563372">
        <w:rPr>
          <w:szCs w:val="24"/>
        </w:rPr>
        <w:t>r</w:t>
      </w:r>
      <w:r w:rsidR="00FA2B37">
        <w:t>epresent</w:t>
      </w:r>
      <w:r w:rsidR="00285918">
        <w:t xml:space="preserve"> </w:t>
      </w:r>
      <w:r w:rsidR="00FA2B37">
        <w:t xml:space="preserve">the world in a way that requires a certain unique skill, while Jeff says that, on his understanding, </w:t>
      </w:r>
      <w:r w:rsidR="00285918">
        <w:t>art</w:t>
      </w:r>
      <w:r w:rsidR="00FA2B37">
        <w:t xml:space="preserve"> </w:t>
      </w:r>
      <w:r w:rsidR="004A69E1">
        <w:t>does not need to aim at being representational</w:t>
      </w:r>
      <w:r w:rsidR="00FA2B37">
        <w:t xml:space="preserve">. Despite this divergence in the content they associate with the </w:t>
      </w:r>
      <w:r w:rsidR="00751844">
        <w:t>subject matter</w:t>
      </w:r>
      <w:r w:rsidR="006C6450">
        <w:t xml:space="preserve"> and despite making this divergence explicit</w:t>
      </w:r>
      <w:r w:rsidR="00FA2B37">
        <w:rPr>
          <w:szCs w:val="24"/>
        </w:rPr>
        <w:t xml:space="preserve">, they </w:t>
      </w:r>
      <w:r w:rsidR="00E235AA">
        <w:rPr>
          <w:szCs w:val="24"/>
        </w:rPr>
        <w:t xml:space="preserve">continue to </w:t>
      </w:r>
      <w:r w:rsidR="00FA2B37">
        <w:rPr>
          <w:szCs w:val="24"/>
        </w:rPr>
        <w:t xml:space="preserve">take one another to be </w:t>
      </w:r>
      <w:proofErr w:type="spellStart"/>
      <w:r w:rsidR="00FA2B37">
        <w:rPr>
          <w:szCs w:val="24"/>
        </w:rPr>
        <w:t>samesaying</w:t>
      </w:r>
      <w:proofErr w:type="spellEnd"/>
      <w:r w:rsidR="00FA2B37">
        <w:rPr>
          <w:szCs w:val="24"/>
        </w:rPr>
        <w:t xml:space="preserve">. That is why they assume they are engaged in a genuine disagreement and not merely talking past one another – where, for example, Larry would have his concept (say, </w:t>
      </w:r>
      <w:r w:rsidR="00FA2B37" w:rsidRPr="00142208">
        <w:rPr>
          <w:sz w:val="18"/>
          <w:szCs w:val="18"/>
        </w:rPr>
        <w:t>ART</w:t>
      </w:r>
      <w:r w:rsidR="00FA2B37">
        <w:rPr>
          <w:szCs w:val="24"/>
          <w:vertAlign w:val="subscript"/>
        </w:rPr>
        <w:t>L</w:t>
      </w:r>
      <w:r w:rsidR="00FA2B37">
        <w:rPr>
          <w:szCs w:val="24"/>
        </w:rPr>
        <w:t xml:space="preserve">) and Jeff would have his (say, </w:t>
      </w:r>
      <w:r w:rsidR="00FA2B37" w:rsidRPr="00142208">
        <w:rPr>
          <w:sz w:val="18"/>
          <w:szCs w:val="18"/>
        </w:rPr>
        <w:t>ART</w:t>
      </w:r>
      <w:r w:rsidR="00FA2B37">
        <w:rPr>
          <w:szCs w:val="24"/>
          <w:vertAlign w:val="subscript"/>
        </w:rPr>
        <w:t>J</w:t>
      </w:r>
      <w:r w:rsidR="00FA2B37">
        <w:rPr>
          <w:szCs w:val="24"/>
        </w:rPr>
        <w:t>).</w:t>
      </w:r>
      <w:r w:rsidR="00285918">
        <w:rPr>
          <w:rStyle w:val="FootnoteReference"/>
          <w:szCs w:val="24"/>
        </w:rPr>
        <w:footnoteReference w:id="9"/>
      </w:r>
    </w:p>
    <w:p w14:paraId="02B9C4D4" w14:textId="77777777" w:rsidR="00AB556A" w:rsidRDefault="002B151D" w:rsidP="00FA2B37">
      <w:pPr>
        <w:rPr>
          <w:szCs w:val="24"/>
        </w:rPr>
      </w:pPr>
      <w:r>
        <w:rPr>
          <w:szCs w:val="24"/>
        </w:rPr>
        <w:tab/>
      </w:r>
      <w:r w:rsidR="00100469">
        <w:rPr>
          <w:szCs w:val="24"/>
        </w:rPr>
        <w:t>But i</w:t>
      </w:r>
      <w:r>
        <w:rPr>
          <w:szCs w:val="24"/>
        </w:rPr>
        <w:t xml:space="preserve">f the descriptivist is right, </w:t>
      </w:r>
      <w:r w:rsidR="00100469">
        <w:rPr>
          <w:szCs w:val="24"/>
        </w:rPr>
        <w:t xml:space="preserve">then </w:t>
      </w:r>
      <w:r>
        <w:rPr>
          <w:szCs w:val="24"/>
        </w:rPr>
        <w:t xml:space="preserve">we should </w:t>
      </w:r>
      <w:r w:rsidR="00292985">
        <w:rPr>
          <w:szCs w:val="24"/>
        </w:rPr>
        <w:t>likely</w:t>
      </w:r>
      <w:r>
        <w:rPr>
          <w:szCs w:val="24"/>
        </w:rPr>
        <w:t xml:space="preserve"> conclude t</w:t>
      </w:r>
      <w:r w:rsidR="00E57FEA">
        <w:rPr>
          <w:szCs w:val="24"/>
        </w:rPr>
        <w:t>hat Larry and Jeff are mistaken –</w:t>
      </w:r>
      <w:r w:rsidR="00644EBB">
        <w:rPr>
          <w:szCs w:val="24"/>
        </w:rPr>
        <w:t xml:space="preserve"> </w:t>
      </w:r>
      <w:r w:rsidR="003C2E30">
        <w:rPr>
          <w:szCs w:val="24"/>
        </w:rPr>
        <w:t xml:space="preserve">that, contrary to how this exchange shows up to them, the difference in the core content they associate with this </w:t>
      </w:r>
      <w:r w:rsidR="00751844">
        <w:rPr>
          <w:szCs w:val="24"/>
        </w:rPr>
        <w:t>subject matter</w:t>
      </w:r>
      <w:r w:rsidR="00644EBB">
        <w:rPr>
          <w:szCs w:val="24"/>
        </w:rPr>
        <w:t xml:space="preserve"> means</w:t>
      </w:r>
      <w:r w:rsidR="003C2E30">
        <w:rPr>
          <w:szCs w:val="24"/>
        </w:rPr>
        <w:t xml:space="preserve"> that they are in fact talking past one another</w:t>
      </w:r>
      <w:r w:rsidR="00563372">
        <w:rPr>
          <w:szCs w:val="24"/>
        </w:rPr>
        <w:t>, especially since they make this difference explicit</w:t>
      </w:r>
      <w:r w:rsidR="003C2E30">
        <w:rPr>
          <w:szCs w:val="24"/>
        </w:rPr>
        <w:t xml:space="preserve">. </w:t>
      </w:r>
      <w:r w:rsidR="000063AE">
        <w:rPr>
          <w:szCs w:val="24"/>
        </w:rPr>
        <w:t>But s</w:t>
      </w:r>
      <w:r w:rsidR="0090413B">
        <w:rPr>
          <w:szCs w:val="24"/>
        </w:rPr>
        <w:t xml:space="preserve">uch an approach risks </w:t>
      </w:r>
      <w:r w:rsidR="00E235AA">
        <w:rPr>
          <w:szCs w:val="24"/>
        </w:rPr>
        <w:t xml:space="preserve">widespread revisions to and disruptions of our judgments </w:t>
      </w:r>
      <w:r w:rsidR="00F80A44">
        <w:rPr>
          <w:szCs w:val="24"/>
        </w:rPr>
        <w:t xml:space="preserve">of </w:t>
      </w:r>
      <w:proofErr w:type="spellStart"/>
      <w:r w:rsidR="002E365F">
        <w:rPr>
          <w:szCs w:val="24"/>
        </w:rPr>
        <w:t>samesaying</w:t>
      </w:r>
      <w:proofErr w:type="spellEnd"/>
      <w:r w:rsidR="002E365F">
        <w:rPr>
          <w:szCs w:val="24"/>
        </w:rPr>
        <w:t>.</w:t>
      </w:r>
      <w:r w:rsidR="00326E01">
        <w:rPr>
          <w:szCs w:val="24"/>
        </w:rPr>
        <w:t xml:space="preserve"> </w:t>
      </w:r>
      <w:r w:rsidR="00D70214">
        <w:rPr>
          <w:szCs w:val="24"/>
        </w:rPr>
        <w:t>The Sawyer-</w:t>
      </w:r>
      <w:proofErr w:type="spellStart"/>
      <w:r w:rsidR="00D70214">
        <w:rPr>
          <w:szCs w:val="24"/>
        </w:rPr>
        <w:t>Cappelen</w:t>
      </w:r>
      <w:proofErr w:type="spellEnd"/>
      <w:r w:rsidR="00D70214">
        <w:rPr>
          <w:szCs w:val="24"/>
        </w:rPr>
        <w:t xml:space="preserve"> move</w:t>
      </w:r>
      <w:r w:rsidR="00644EBB">
        <w:rPr>
          <w:szCs w:val="24"/>
        </w:rPr>
        <w:t xml:space="preserve"> is to avoid </w:t>
      </w:r>
      <w:r w:rsidR="00AB556A">
        <w:rPr>
          <w:szCs w:val="24"/>
        </w:rPr>
        <w:t>this judgment of</w:t>
      </w:r>
      <w:r w:rsidR="00494DF6">
        <w:rPr>
          <w:szCs w:val="24"/>
        </w:rPr>
        <w:t xml:space="preserve"> widespread, systematic error</w:t>
      </w:r>
      <w:r w:rsidR="00AB556A">
        <w:rPr>
          <w:szCs w:val="24"/>
        </w:rPr>
        <w:t xml:space="preserve"> in our judgments </w:t>
      </w:r>
      <w:r w:rsidR="009A308E">
        <w:rPr>
          <w:szCs w:val="24"/>
        </w:rPr>
        <w:t>of</w:t>
      </w:r>
      <w:r w:rsidR="00AB556A">
        <w:rPr>
          <w:szCs w:val="24"/>
        </w:rPr>
        <w:t xml:space="preserve"> </w:t>
      </w:r>
      <w:proofErr w:type="spellStart"/>
      <w:r w:rsidR="00AB556A">
        <w:rPr>
          <w:szCs w:val="24"/>
        </w:rPr>
        <w:t>samesaying</w:t>
      </w:r>
      <w:proofErr w:type="spellEnd"/>
      <w:r w:rsidR="00AB556A">
        <w:rPr>
          <w:szCs w:val="24"/>
        </w:rPr>
        <w:t xml:space="preserve"> and disagreement by identifying</w:t>
      </w:r>
      <w:r w:rsidR="00644EBB">
        <w:rPr>
          <w:szCs w:val="24"/>
        </w:rPr>
        <w:t xml:space="preserve"> a</w:t>
      </w:r>
      <w:r w:rsidR="0072663E">
        <w:rPr>
          <w:szCs w:val="24"/>
        </w:rPr>
        <w:t xml:space="preserve"> </w:t>
      </w:r>
      <w:proofErr w:type="spellStart"/>
      <w:r w:rsidR="0072663E">
        <w:rPr>
          <w:szCs w:val="24"/>
        </w:rPr>
        <w:t>metasemantic</w:t>
      </w:r>
      <w:proofErr w:type="spellEnd"/>
      <w:r w:rsidR="00644EBB">
        <w:rPr>
          <w:szCs w:val="24"/>
        </w:rPr>
        <w:t xml:space="preserve"> register at which </w:t>
      </w:r>
      <w:r w:rsidR="0072663E">
        <w:rPr>
          <w:szCs w:val="24"/>
        </w:rPr>
        <w:t>speakers nonetheless</w:t>
      </w:r>
      <w:r w:rsidR="00644EBB">
        <w:rPr>
          <w:szCs w:val="24"/>
        </w:rPr>
        <w:t xml:space="preserve"> count as </w:t>
      </w:r>
      <w:proofErr w:type="spellStart"/>
      <w:r w:rsidR="00644EBB">
        <w:rPr>
          <w:szCs w:val="24"/>
        </w:rPr>
        <w:t>samesaying</w:t>
      </w:r>
      <w:proofErr w:type="spellEnd"/>
      <w:r w:rsidR="00644EBB">
        <w:rPr>
          <w:szCs w:val="24"/>
        </w:rPr>
        <w:t xml:space="preserve"> – here,</w:t>
      </w:r>
      <w:r w:rsidR="000C41A0">
        <w:rPr>
          <w:szCs w:val="24"/>
        </w:rPr>
        <w:t xml:space="preserve"> for example</w:t>
      </w:r>
      <w:r w:rsidR="00644EBB">
        <w:rPr>
          <w:szCs w:val="24"/>
        </w:rPr>
        <w:t xml:space="preserve"> that Larry and Jeff </w:t>
      </w:r>
      <w:r w:rsidR="000C41A0">
        <w:rPr>
          <w:szCs w:val="24"/>
        </w:rPr>
        <w:t>would be</w:t>
      </w:r>
      <w:r w:rsidR="00644EBB">
        <w:rPr>
          <w:szCs w:val="24"/>
        </w:rPr>
        <w:t xml:space="preserve"> </w:t>
      </w:r>
      <w:proofErr w:type="spellStart"/>
      <w:r w:rsidR="00AB556A">
        <w:rPr>
          <w:szCs w:val="24"/>
        </w:rPr>
        <w:t>samesaying</w:t>
      </w:r>
      <w:proofErr w:type="spellEnd"/>
      <w:r w:rsidR="00AB556A">
        <w:rPr>
          <w:szCs w:val="24"/>
        </w:rPr>
        <w:t xml:space="preserve"> </w:t>
      </w:r>
      <w:r w:rsidR="00644EBB">
        <w:rPr>
          <w:szCs w:val="24"/>
        </w:rPr>
        <w:t>about</w:t>
      </w:r>
      <w:r w:rsidR="00AB556A">
        <w:rPr>
          <w:szCs w:val="24"/>
        </w:rPr>
        <w:t xml:space="preserve"> either</w:t>
      </w:r>
      <w:r w:rsidR="00644EBB">
        <w:rPr>
          <w:szCs w:val="24"/>
        </w:rPr>
        <w:t xml:space="preserve"> the concept of art or the topic of art.</w:t>
      </w:r>
    </w:p>
    <w:p w14:paraId="2BC0AE5E" w14:textId="77777777" w:rsidR="00A676A7" w:rsidRDefault="007F5D11" w:rsidP="007F5D11">
      <w:pPr>
        <w:ind w:firstLine="720"/>
        <w:rPr>
          <w:szCs w:val="24"/>
        </w:rPr>
      </w:pPr>
      <w:r>
        <w:rPr>
          <w:szCs w:val="24"/>
        </w:rPr>
        <w:lastRenderedPageBreak/>
        <w:t>But</w:t>
      </w:r>
      <w:r w:rsidR="005D20BF">
        <w:rPr>
          <w:szCs w:val="24"/>
        </w:rPr>
        <w:t xml:space="preserve"> before reaching for and adding to our </w:t>
      </w:r>
      <w:proofErr w:type="spellStart"/>
      <w:r w:rsidR="005D20BF">
        <w:rPr>
          <w:szCs w:val="24"/>
        </w:rPr>
        <w:t>metasemantic</w:t>
      </w:r>
      <w:proofErr w:type="spellEnd"/>
      <w:r w:rsidR="005D20BF">
        <w:rPr>
          <w:szCs w:val="24"/>
        </w:rPr>
        <w:t xml:space="preserve"> toolbox,</w:t>
      </w:r>
      <w:r w:rsidR="00563372">
        <w:rPr>
          <w:szCs w:val="24"/>
        </w:rPr>
        <w:t xml:space="preserve"> we </w:t>
      </w:r>
      <w:r w:rsidR="005D20BF">
        <w:rPr>
          <w:szCs w:val="24"/>
        </w:rPr>
        <w:t xml:space="preserve">should </w:t>
      </w:r>
      <w:r w:rsidR="00813586">
        <w:rPr>
          <w:szCs w:val="24"/>
        </w:rPr>
        <w:t>pause to consider the significance</w:t>
      </w:r>
      <w:r w:rsidR="005D20BF">
        <w:rPr>
          <w:szCs w:val="24"/>
        </w:rPr>
        <w:t xml:space="preserve"> </w:t>
      </w:r>
      <w:r w:rsidR="00813586">
        <w:rPr>
          <w:szCs w:val="24"/>
        </w:rPr>
        <w:t xml:space="preserve">of </w:t>
      </w:r>
      <w:r w:rsidR="005D20BF">
        <w:rPr>
          <w:szCs w:val="24"/>
        </w:rPr>
        <w:t xml:space="preserve">the fact that </w:t>
      </w:r>
      <w:r>
        <w:rPr>
          <w:szCs w:val="24"/>
        </w:rPr>
        <w:t>even in cases of this kind – cases where</w:t>
      </w:r>
      <w:r w:rsidR="00494DF6">
        <w:rPr>
          <w:szCs w:val="24"/>
        </w:rPr>
        <w:t xml:space="preserve"> speakers make explicit that they understand the relevant </w:t>
      </w:r>
      <w:r w:rsidR="00A676A7">
        <w:rPr>
          <w:szCs w:val="24"/>
        </w:rPr>
        <w:t xml:space="preserve">term, </w:t>
      </w:r>
      <w:r w:rsidR="00494DF6">
        <w:rPr>
          <w:szCs w:val="24"/>
        </w:rPr>
        <w:t>concept</w:t>
      </w:r>
      <w:r w:rsidR="00A676A7">
        <w:rPr>
          <w:szCs w:val="24"/>
        </w:rPr>
        <w:t xml:space="preserve">, </w:t>
      </w:r>
      <w:r w:rsidR="00494DF6">
        <w:rPr>
          <w:szCs w:val="24"/>
        </w:rPr>
        <w:t>or topic i</w:t>
      </w:r>
      <w:r>
        <w:rPr>
          <w:szCs w:val="24"/>
        </w:rPr>
        <w:t>n fundamentally different ways –</w:t>
      </w:r>
      <w:r w:rsidR="007F7EDA">
        <w:rPr>
          <w:szCs w:val="24"/>
        </w:rPr>
        <w:t xml:space="preserve"> speakers</w:t>
      </w:r>
      <w:r w:rsidR="00494DF6">
        <w:rPr>
          <w:szCs w:val="24"/>
        </w:rPr>
        <w:t xml:space="preserve"> </w:t>
      </w:r>
      <w:r w:rsidR="00100469">
        <w:rPr>
          <w:szCs w:val="24"/>
        </w:rPr>
        <w:t xml:space="preserve">nonetheless </w:t>
      </w:r>
      <w:r w:rsidR="00494DF6">
        <w:rPr>
          <w:szCs w:val="24"/>
        </w:rPr>
        <w:t>often</w:t>
      </w:r>
      <w:r w:rsidR="006177ED">
        <w:rPr>
          <w:szCs w:val="24"/>
        </w:rPr>
        <w:t xml:space="preserve"> </w:t>
      </w:r>
      <w:r w:rsidR="009A308E">
        <w:rPr>
          <w:szCs w:val="24"/>
        </w:rPr>
        <w:t xml:space="preserve">take one another to </w:t>
      </w:r>
      <w:proofErr w:type="spellStart"/>
      <w:r w:rsidR="009A308E">
        <w:rPr>
          <w:szCs w:val="24"/>
        </w:rPr>
        <w:t>samesay</w:t>
      </w:r>
      <w:proofErr w:type="spellEnd"/>
      <w:r w:rsidR="009A308E">
        <w:rPr>
          <w:szCs w:val="24"/>
        </w:rPr>
        <w:t xml:space="preserve">. </w:t>
      </w:r>
      <w:r w:rsidR="006177ED">
        <w:rPr>
          <w:szCs w:val="24"/>
        </w:rPr>
        <w:t xml:space="preserve">This is a more surprising result than in </w:t>
      </w:r>
      <w:r w:rsidR="00E864DE">
        <w:rPr>
          <w:szCs w:val="24"/>
        </w:rPr>
        <w:t>exchanges</w:t>
      </w:r>
      <w:r w:rsidR="006177ED">
        <w:rPr>
          <w:szCs w:val="24"/>
        </w:rPr>
        <w:t xml:space="preserve"> like the coffee case, where </w:t>
      </w:r>
      <w:r w:rsidR="00553570">
        <w:rPr>
          <w:szCs w:val="24"/>
        </w:rPr>
        <w:t>I and my colleague</w:t>
      </w:r>
      <w:r w:rsidR="006177ED">
        <w:rPr>
          <w:szCs w:val="24"/>
        </w:rPr>
        <w:t xml:space="preserve"> do not migrate to any kind of metalinguistic</w:t>
      </w:r>
      <w:r w:rsidR="0072663E">
        <w:rPr>
          <w:szCs w:val="24"/>
        </w:rPr>
        <w:t xml:space="preserve"> or metaconceptual</w:t>
      </w:r>
      <w:r w:rsidR="006177ED">
        <w:rPr>
          <w:szCs w:val="24"/>
        </w:rPr>
        <w:t xml:space="preserve"> register that makes explicit</w:t>
      </w:r>
      <w:r w:rsidR="00E864DE">
        <w:rPr>
          <w:szCs w:val="24"/>
        </w:rPr>
        <w:t xml:space="preserve"> that</w:t>
      </w:r>
      <w:r w:rsidR="00A676A7">
        <w:rPr>
          <w:szCs w:val="24"/>
        </w:rPr>
        <w:t xml:space="preserve"> </w:t>
      </w:r>
      <w:r w:rsidR="00C11031">
        <w:rPr>
          <w:szCs w:val="24"/>
        </w:rPr>
        <w:t>we</w:t>
      </w:r>
      <w:r w:rsidR="006177ED">
        <w:rPr>
          <w:szCs w:val="24"/>
        </w:rPr>
        <w:t xml:space="preserve"> understand the relevant </w:t>
      </w:r>
      <w:r w:rsidR="00A676A7">
        <w:rPr>
          <w:szCs w:val="24"/>
        </w:rPr>
        <w:t>concept</w:t>
      </w:r>
      <w:r w:rsidR="006177ED">
        <w:rPr>
          <w:szCs w:val="24"/>
        </w:rPr>
        <w:t xml:space="preserve"> in fundamentally different ways. </w:t>
      </w:r>
      <w:r w:rsidR="00650451">
        <w:rPr>
          <w:szCs w:val="24"/>
        </w:rPr>
        <w:t>I</w:t>
      </w:r>
      <w:r w:rsidR="006177ED">
        <w:rPr>
          <w:szCs w:val="24"/>
        </w:rPr>
        <w:t xml:space="preserve">f there is any context where </w:t>
      </w:r>
      <w:r w:rsidR="00650451">
        <w:rPr>
          <w:szCs w:val="24"/>
        </w:rPr>
        <w:t xml:space="preserve">we would expect to find </w:t>
      </w:r>
      <w:r w:rsidR="006177ED">
        <w:rPr>
          <w:szCs w:val="24"/>
        </w:rPr>
        <w:t xml:space="preserve">judgments of </w:t>
      </w:r>
      <w:proofErr w:type="spellStart"/>
      <w:r w:rsidR="006177ED">
        <w:rPr>
          <w:szCs w:val="24"/>
        </w:rPr>
        <w:t>samesaying</w:t>
      </w:r>
      <w:proofErr w:type="spellEnd"/>
      <w:r w:rsidR="006177ED">
        <w:rPr>
          <w:szCs w:val="24"/>
        </w:rPr>
        <w:t xml:space="preserve"> routinely defeated, it </w:t>
      </w:r>
      <w:r w:rsidR="00650451">
        <w:rPr>
          <w:szCs w:val="24"/>
        </w:rPr>
        <w:t xml:space="preserve">would </w:t>
      </w:r>
      <w:r w:rsidR="00E864DE">
        <w:rPr>
          <w:szCs w:val="24"/>
        </w:rPr>
        <w:t>be here, where</w:t>
      </w:r>
      <w:r w:rsidR="006177ED">
        <w:rPr>
          <w:szCs w:val="24"/>
        </w:rPr>
        <w:t xml:space="preserve"> speakers </w:t>
      </w:r>
      <w:r w:rsidR="0016548C">
        <w:rPr>
          <w:szCs w:val="24"/>
        </w:rPr>
        <w:t xml:space="preserve">make </w:t>
      </w:r>
      <w:r w:rsidR="00E864DE">
        <w:rPr>
          <w:szCs w:val="24"/>
        </w:rPr>
        <w:t>their</w:t>
      </w:r>
      <w:r w:rsidR="0016548C">
        <w:rPr>
          <w:szCs w:val="24"/>
        </w:rPr>
        <w:t xml:space="preserve"> conflicting understandings of the </w:t>
      </w:r>
      <w:r w:rsidR="00A676A7">
        <w:rPr>
          <w:szCs w:val="24"/>
        </w:rPr>
        <w:t>concept explicit</w:t>
      </w:r>
      <w:r w:rsidR="0016548C">
        <w:rPr>
          <w:szCs w:val="24"/>
        </w:rPr>
        <w:t>. But this is</w:t>
      </w:r>
      <w:r w:rsidR="00100469">
        <w:rPr>
          <w:szCs w:val="24"/>
        </w:rPr>
        <w:t xml:space="preserve"> often</w:t>
      </w:r>
      <w:r w:rsidR="008029EC">
        <w:rPr>
          <w:szCs w:val="24"/>
        </w:rPr>
        <w:t xml:space="preserve"> </w:t>
      </w:r>
      <w:r w:rsidR="0016548C">
        <w:rPr>
          <w:szCs w:val="24"/>
        </w:rPr>
        <w:t>not what we</w:t>
      </w:r>
      <w:r w:rsidR="008029EC">
        <w:rPr>
          <w:szCs w:val="24"/>
        </w:rPr>
        <w:t xml:space="preserve"> </w:t>
      </w:r>
      <w:r w:rsidR="0016548C">
        <w:rPr>
          <w:szCs w:val="24"/>
        </w:rPr>
        <w:t>find</w:t>
      </w:r>
      <w:r w:rsidR="00650451">
        <w:rPr>
          <w:szCs w:val="24"/>
        </w:rPr>
        <w:t xml:space="preserve">: speakers continue to take one another to </w:t>
      </w:r>
      <w:proofErr w:type="spellStart"/>
      <w:r w:rsidR="00650451">
        <w:rPr>
          <w:szCs w:val="24"/>
        </w:rPr>
        <w:t>samesay</w:t>
      </w:r>
      <w:proofErr w:type="spellEnd"/>
      <w:r w:rsidR="00650451">
        <w:rPr>
          <w:szCs w:val="24"/>
        </w:rPr>
        <w:t xml:space="preserve"> </w:t>
      </w:r>
      <w:r w:rsidR="00650451" w:rsidRPr="00A676A7">
        <w:rPr>
          <w:i/>
          <w:szCs w:val="24"/>
        </w:rPr>
        <w:t>despite</w:t>
      </w:r>
      <w:r w:rsidR="00650451">
        <w:rPr>
          <w:szCs w:val="24"/>
        </w:rPr>
        <w:t xml:space="preserve"> making</w:t>
      </w:r>
      <w:r w:rsidR="008029EC">
        <w:rPr>
          <w:szCs w:val="24"/>
        </w:rPr>
        <w:t xml:space="preserve"> their conflicting views</w:t>
      </w:r>
      <w:r w:rsidR="00650451">
        <w:rPr>
          <w:szCs w:val="24"/>
        </w:rPr>
        <w:t xml:space="preserve"> explicit</w:t>
      </w:r>
      <w:r w:rsidR="0072663E">
        <w:rPr>
          <w:szCs w:val="24"/>
        </w:rPr>
        <w:t>.</w:t>
      </w:r>
    </w:p>
    <w:p w14:paraId="19EE0C38" w14:textId="77777777" w:rsidR="00115C8C" w:rsidRDefault="0016548C" w:rsidP="00663949">
      <w:pPr>
        <w:ind w:firstLine="720"/>
        <w:rPr>
          <w:szCs w:val="24"/>
        </w:rPr>
      </w:pPr>
      <w:r>
        <w:rPr>
          <w:szCs w:val="24"/>
        </w:rPr>
        <w:t xml:space="preserve">Now, as the </w:t>
      </w:r>
      <w:proofErr w:type="spellStart"/>
      <w:r>
        <w:rPr>
          <w:szCs w:val="24"/>
        </w:rPr>
        <w:t>Schroeters</w:t>
      </w:r>
      <w:proofErr w:type="spellEnd"/>
      <w:r>
        <w:rPr>
          <w:szCs w:val="24"/>
        </w:rPr>
        <w:t xml:space="preserve"> argue, </w:t>
      </w:r>
      <w:r w:rsidR="00E75D65">
        <w:rPr>
          <w:szCs w:val="24"/>
        </w:rPr>
        <w:t>t</w:t>
      </w:r>
      <w:r w:rsidR="009A308E">
        <w:rPr>
          <w:szCs w:val="24"/>
        </w:rPr>
        <w:t xml:space="preserve">his appearance of </w:t>
      </w:r>
      <w:proofErr w:type="spellStart"/>
      <w:r w:rsidR="009A308E">
        <w:rPr>
          <w:szCs w:val="24"/>
        </w:rPr>
        <w:t>samesaying</w:t>
      </w:r>
      <w:proofErr w:type="spellEnd"/>
      <w:r w:rsidR="009A308E">
        <w:rPr>
          <w:szCs w:val="24"/>
        </w:rPr>
        <w:t xml:space="preserve"> is in part grounded in syntactic, phonological, and pragmatic cues that</w:t>
      </w:r>
      <w:r w:rsidR="00ED43FA">
        <w:rPr>
          <w:szCs w:val="24"/>
        </w:rPr>
        <w:t xml:space="preserve"> indicate</w:t>
      </w:r>
      <w:r w:rsidR="00AE1A78">
        <w:rPr>
          <w:szCs w:val="24"/>
        </w:rPr>
        <w:t xml:space="preserve"> that</w:t>
      </w:r>
      <w:r w:rsidR="009A308E">
        <w:rPr>
          <w:szCs w:val="24"/>
        </w:rPr>
        <w:t xml:space="preserve"> our interlocutors intend to talk and think about the same concept or subject matter we are talking and thinking about. But this is only part of the story. </w:t>
      </w:r>
      <w:r w:rsidR="00B32DE5">
        <w:rPr>
          <w:szCs w:val="24"/>
        </w:rPr>
        <w:t>If I were exclusively</w:t>
      </w:r>
      <w:r w:rsidR="00500F52">
        <w:rPr>
          <w:szCs w:val="24"/>
        </w:rPr>
        <w:t xml:space="preserve"> updating information I have about the meaning or concept another speaker might have in</w:t>
      </w:r>
      <w:r w:rsidR="00AE1A78">
        <w:rPr>
          <w:szCs w:val="24"/>
        </w:rPr>
        <w:t xml:space="preserve"> mind, this would</w:t>
      </w:r>
      <w:r w:rsidR="006E5928">
        <w:rPr>
          <w:szCs w:val="24"/>
        </w:rPr>
        <w:t xml:space="preserve"> not entail anything about</w:t>
      </w:r>
      <w:r w:rsidR="00D90771">
        <w:rPr>
          <w:szCs w:val="24"/>
        </w:rPr>
        <w:t xml:space="preserve"> </w:t>
      </w:r>
      <w:r w:rsidR="00001AB5">
        <w:rPr>
          <w:szCs w:val="24"/>
        </w:rPr>
        <w:t xml:space="preserve">how I </w:t>
      </w:r>
      <w:r w:rsidR="00C65E91">
        <w:rPr>
          <w:szCs w:val="24"/>
        </w:rPr>
        <w:t>in turn</w:t>
      </w:r>
      <w:r w:rsidR="006B1892">
        <w:rPr>
          <w:szCs w:val="24"/>
        </w:rPr>
        <w:t xml:space="preserve"> </w:t>
      </w:r>
      <w:r w:rsidR="00001AB5">
        <w:rPr>
          <w:szCs w:val="24"/>
        </w:rPr>
        <w:t xml:space="preserve">view </w:t>
      </w:r>
      <w:r w:rsidR="00AE1A78">
        <w:rPr>
          <w:szCs w:val="24"/>
        </w:rPr>
        <w:t xml:space="preserve">the meaning or concept this </w:t>
      </w:r>
      <w:r w:rsidR="005836F3">
        <w:rPr>
          <w:szCs w:val="24"/>
        </w:rPr>
        <w:t xml:space="preserve">other </w:t>
      </w:r>
      <w:r w:rsidR="00AE1A78">
        <w:rPr>
          <w:szCs w:val="24"/>
        </w:rPr>
        <w:t xml:space="preserve">speaker has in mind. </w:t>
      </w:r>
      <w:r w:rsidR="00E65CCE">
        <w:rPr>
          <w:szCs w:val="24"/>
        </w:rPr>
        <w:t>I might, for example, view this information with indifference</w:t>
      </w:r>
      <w:r w:rsidR="00553570">
        <w:rPr>
          <w:szCs w:val="24"/>
        </w:rPr>
        <w:t xml:space="preserve"> or as a curiosity that I </w:t>
      </w:r>
      <w:r w:rsidR="00B15CDE">
        <w:rPr>
          <w:szCs w:val="24"/>
        </w:rPr>
        <w:t>then</w:t>
      </w:r>
      <w:r w:rsidR="00553570">
        <w:rPr>
          <w:szCs w:val="24"/>
        </w:rPr>
        <w:t xml:space="preserve"> ignore</w:t>
      </w:r>
      <w:r w:rsidR="00E65CCE">
        <w:rPr>
          <w:szCs w:val="24"/>
        </w:rPr>
        <w:t xml:space="preserve">. </w:t>
      </w:r>
      <w:r w:rsidR="00650451">
        <w:rPr>
          <w:szCs w:val="24"/>
        </w:rPr>
        <w:t>But this is not</w:t>
      </w:r>
      <w:r w:rsidR="00A624E3">
        <w:rPr>
          <w:szCs w:val="24"/>
        </w:rPr>
        <w:t xml:space="preserve"> </w:t>
      </w:r>
      <w:r w:rsidR="005721BC">
        <w:rPr>
          <w:szCs w:val="24"/>
        </w:rPr>
        <w:t>the stance of Larry and Jeff in response to the different understandings of</w:t>
      </w:r>
      <w:r w:rsidR="00813586">
        <w:rPr>
          <w:szCs w:val="24"/>
        </w:rPr>
        <w:t xml:space="preserve"> the concept or topic of</w:t>
      </w:r>
      <w:r w:rsidR="005721BC">
        <w:rPr>
          <w:szCs w:val="24"/>
        </w:rPr>
        <w:t xml:space="preserve"> art they articulate. </w:t>
      </w:r>
      <w:r w:rsidR="00105CA0">
        <w:rPr>
          <w:szCs w:val="24"/>
        </w:rPr>
        <w:t xml:space="preserve">They do not just indifferently update their </w:t>
      </w:r>
      <w:r w:rsidR="00AD17F0">
        <w:rPr>
          <w:szCs w:val="24"/>
        </w:rPr>
        <w:t>internal ledger for</w:t>
      </w:r>
      <w:r w:rsidR="00105CA0">
        <w:rPr>
          <w:szCs w:val="24"/>
        </w:rPr>
        <w:t xml:space="preserve"> how </w:t>
      </w:r>
      <w:r w:rsidR="00497C21">
        <w:rPr>
          <w:szCs w:val="24"/>
        </w:rPr>
        <w:t xml:space="preserve">the other </w:t>
      </w:r>
      <w:r w:rsidR="00C65E91">
        <w:rPr>
          <w:szCs w:val="24"/>
        </w:rPr>
        <w:t xml:space="preserve">speaker </w:t>
      </w:r>
      <w:r w:rsidR="00105CA0">
        <w:rPr>
          <w:szCs w:val="24"/>
        </w:rPr>
        <w:t>understand</w:t>
      </w:r>
      <w:r w:rsidR="00497C21">
        <w:rPr>
          <w:szCs w:val="24"/>
        </w:rPr>
        <w:t>s</w:t>
      </w:r>
      <w:r w:rsidR="00105CA0">
        <w:rPr>
          <w:szCs w:val="24"/>
        </w:rPr>
        <w:t xml:space="preserve"> </w:t>
      </w:r>
      <w:r w:rsidR="00AD17F0">
        <w:rPr>
          <w:szCs w:val="24"/>
        </w:rPr>
        <w:t>this concept</w:t>
      </w:r>
      <w:r w:rsidR="00813586">
        <w:rPr>
          <w:szCs w:val="24"/>
        </w:rPr>
        <w:t>/topic</w:t>
      </w:r>
      <w:r w:rsidR="00AD17F0">
        <w:rPr>
          <w:szCs w:val="24"/>
        </w:rPr>
        <w:t>.</w:t>
      </w:r>
      <w:r w:rsidR="00796695">
        <w:rPr>
          <w:szCs w:val="24"/>
        </w:rPr>
        <w:t xml:space="preserve"> They take one another to</w:t>
      </w:r>
      <w:r w:rsidR="006D4E90">
        <w:rPr>
          <w:szCs w:val="24"/>
        </w:rPr>
        <w:t xml:space="preserve"> be </w:t>
      </w:r>
      <w:r w:rsidR="00266143">
        <w:rPr>
          <w:szCs w:val="24"/>
        </w:rPr>
        <w:t>engaged in the project of</w:t>
      </w:r>
      <w:r w:rsidR="006D4E90" w:rsidRPr="00B32DE5">
        <w:rPr>
          <w:szCs w:val="24"/>
        </w:rPr>
        <w:t xml:space="preserve"> </w:t>
      </w:r>
      <w:r w:rsidR="006D4E90">
        <w:rPr>
          <w:szCs w:val="24"/>
        </w:rPr>
        <w:t>capturing the same thing – the concept</w:t>
      </w:r>
      <w:r w:rsidR="00813586">
        <w:rPr>
          <w:szCs w:val="24"/>
        </w:rPr>
        <w:t>/topic</w:t>
      </w:r>
      <w:r w:rsidR="00D037BC">
        <w:rPr>
          <w:szCs w:val="24"/>
        </w:rPr>
        <w:t xml:space="preserve"> </w:t>
      </w:r>
      <w:r w:rsidR="006D4E90">
        <w:rPr>
          <w:szCs w:val="24"/>
        </w:rPr>
        <w:t>of art. Because they view one another as engaged in this same project (of getting the concept</w:t>
      </w:r>
      <w:r w:rsidR="00A83CAC">
        <w:rPr>
          <w:szCs w:val="24"/>
        </w:rPr>
        <w:t>/topic</w:t>
      </w:r>
      <w:r w:rsidR="006D4E90">
        <w:rPr>
          <w:szCs w:val="24"/>
        </w:rPr>
        <w:t xml:space="preserve"> in question correct), they therefore </w:t>
      </w:r>
      <w:r w:rsidR="00647C3C">
        <w:rPr>
          <w:szCs w:val="24"/>
        </w:rPr>
        <w:t xml:space="preserve">do not take the other’s different understanding </w:t>
      </w:r>
      <w:r w:rsidR="002518C3">
        <w:rPr>
          <w:szCs w:val="24"/>
        </w:rPr>
        <w:t xml:space="preserve">to be a marker of a lack of </w:t>
      </w:r>
      <w:proofErr w:type="spellStart"/>
      <w:r w:rsidR="002518C3">
        <w:rPr>
          <w:szCs w:val="24"/>
        </w:rPr>
        <w:t>samesaying</w:t>
      </w:r>
      <w:proofErr w:type="spellEnd"/>
      <w:r w:rsidR="002518C3">
        <w:rPr>
          <w:szCs w:val="24"/>
        </w:rPr>
        <w:t xml:space="preserve">, but as a formulation of a </w:t>
      </w:r>
      <w:r w:rsidR="002518C3">
        <w:rPr>
          <w:i/>
          <w:szCs w:val="24"/>
        </w:rPr>
        <w:t>mistaken</w:t>
      </w:r>
      <w:r w:rsidR="00F80A44">
        <w:rPr>
          <w:szCs w:val="24"/>
        </w:rPr>
        <w:t xml:space="preserve"> understanding of the</w:t>
      </w:r>
      <w:r w:rsidR="002518C3">
        <w:rPr>
          <w:szCs w:val="24"/>
        </w:rPr>
        <w:t xml:space="preserve"> very same concept</w:t>
      </w:r>
      <w:r w:rsidR="00A83CAC">
        <w:rPr>
          <w:szCs w:val="24"/>
        </w:rPr>
        <w:t>/topic</w:t>
      </w:r>
      <w:r w:rsidR="002518C3">
        <w:rPr>
          <w:szCs w:val="24"/>
        </w:rPr>
        <w:t xml:space="preserve">. </w:t>
      </w:r>
      <w:r w:rsidR="009A27DA">
        <w:rPr>
          <w:szCs w:val="24"/>
        </w:rPr>
        <w:t xml:space="preserve">I </w:t>
      </w:r>
      <w:r w:rsidR="00C922D3">
        <w:rPr>
          <w:szCs w:val="24"/>
        </w:rPr>
        <w:t>can only count</w:t>
      </w:r>
      <w:r w:rsidR="009A27DA">
        <w:rPr>
          <w:szCs w:val="24"/>
        </w:rPr>
        <w:t xml:space="preserve"> an understanding</w:t>
      </w:r>
      <w:r w:rsidR="00C922D3">
        <w:rPr>
          <w:szCs w:val="24"/>
        </w:rPr>
        <w:t xml:space="preserve"> as mistaken, however, if </w:t>
      </w:r>
      <w:r w:rsidR="009A27DA">
        <w:rPr>
          <w:szCs w:val="24"/>
        </w:rPr>
        <w:t>I assume it</w:t>
      </w:r>
      <w:r w:rsidR="002518C3">
        <w:rPr>
          <w:szCs w:val="24"/>
        </w:rPr>
        <w:t xml:space="preserve"> </w:t>
      </w:r>
      <w:r w:rsidR="003C07A5">
        <w:rPr>
          <w:szCs w:val="24"/>
        </w:rPr>
        <w:t>concerns the same concept</w:t>
      </w:r>
      <w:r w:rsidR="00A83CAC">
        <w:rPr>
          <w:szCs w:val="24"/>
        </w:rPr>
        <w:t>/topic</w:t>
      </w:r>
      <w:r w:rsidR="00CF2EBB">
        <w:rPr>
          <w:szCs w:val="24"/>
        </w:rPr>
        <w:t xml:space="preserve"> </w:t>
      </w:r>
      <w:r w:rsidR="009A27DA">
        <w:rPr>
          <w:szCs w:val="24"/>
        </w:rPr>
        <w:t>I have in mind: it concerns this same concept, but it gets it wrong.</w:t>
      </w:r>
      <w:r w:rsidR="008C1DE8">
        <w:rPr>
          <w:szCs w:val="24"/>
        </w:rPr>
        <w:t xml:space="preserve"> </w:t>
      </w:r>
      <w:r w:rsidR="00874ABE">
        <w:rPr>
          <w:szCs w:val="24"/>
        </w:rPr>
        <w:t xml:space="preserve">I therefore take us to be </w:t>
      </w:r>
      <w:proofErr w:type="spellStart"/>
      <w:r w:rsidR="00874ABE">
        <w:rPr>
          <w:szCs w:val="24"/>
        </w:rPr>
        <w:t>samesayers</w:t>
      </w:r>
      <w:proofErr w:type="spellEnd"/>
      <w:r w:rsidR="00874ABE">
        <w:rPr>
          <w:szCs w:val="24"/>
        </w:rPr>
        <w:t xml:space="preserve"> despite our seemingly incompatible understandings because</w:t>
      </w:r>
      <w:r w:rsidR="00663949">
        <w:rPr>
          <w:szCs w:val="24"/>
        </w:rPr>
        <w:t xml:space="preserve"> I take </w:t>
      </w:r>
      <w:r w:rsidR="00874ABE">
        <w:rPr>
          <w:szCs w:val="24"/>
        </w:rPr>
        <w:t xml:space="preserve">us </w:t>
      </w:r>
      <w:r w:rsidR="00206183">
        <w:rPr>
          <w:szCs w:val="24"/>
        </w:rPr>
        <w:t>both to</w:t>
      </w:r>
      <w:r w:rsidR="00663949">
        <w:rPr>
          <w:szCs w:val="24"/>
        </w:rPr>
        <w:t xml:space="preserve"> </w:t>
      </w:r>
      <w:r w:rsidR="00206183">
        <w:rPr>
          <w:szCs w:val="24"/>
        </w:rPr>
        <w:t>be attempting to</w:t>
      </w:r>
      <w:r w:rsidR="00874ABE">
        <w:rPr>
          <w:szCs w:val="24"/>
        </w:rPr>
        <w:t xml:space="preserve"> </w:t>
      </w:r>
      <w:r w:rsidR="00B15CDE">
        <w:rPr>
          <w:szCs w:val="24"/>
        </w:rPr>
        <w:t xml:space="preserve">correctly </w:t>
      </w:r>
      <w:r w:rsidR="00874ABE">
        <w:rPr>
          <w:szCs w:val="24"/>
        </w:rPr>
        <w:t xml:space="preserve">capture the same </w:t>
      </w:r>
      <w:r w:rsidR="00874ABE" w:rsidRPr="00874ABE">
        <w:rPr>
          <w:szCs w:val="24"/>
        </w:rPr>
        <w:t>thing</w:t>
      </w:r>
      <w:r w:rsidR="000C1C68">
        <w:rPr>
          <w:szCs w:val="24"/>
        </w:rPr>
        <w:t>.</w:t>
      </w:r>
    </w:p>
    <w:p w14:paraId="5C577012" w14:textId="77777777" w:rsidR="003C07A5" w:rsidRPr="002518C3" w:rsidRDefault="00D32196" w:rsidP="00663949">
      <w:pPr>
        <w:ind w:firstLine="720"/>
        <w:rPr>
          <w:szCs w:val="24"/>
        </w:rPr>
      </w:pPr>
      <w:r>
        <w:rPr>
          <w:szCs w:val="24"/>
        </w:rPr>
        <w:t>Larry and Jeff, for example, assume that there is something</w:t>
      </w:r>
      <w:r w:rsidR="008C1DE8">
        <w:rPr>
          <w:szCs w:val="24"/>
        </w:rPr>
        <w:t xml:space="preserve"> that art</w:t>
      </w:r>
      <w:r>
        <w:rPr>
          <w:szCs w:val="24"/>
        </w:rPr>
        <w:t xml:space="preserve"> </w:t>
      </w:r>
      <w:r w:rsidR="00796695">
        <w:rPr>
          <w:i/>
          <w:szCs w:val="24"/>
        </w:rPr>
        <w:t>is</w:t>
      </w:r>
      <w:r>
        <w:rPr>
          <w:szCs w:val="24"/>
        </w:rPr>
        <w:t xml:space="preserve"> that their </w:t>
      </w:r>
      <w:r w:rsidR="008C1DE8">
        <w:rPr>
          <w:szCs w:val="24"/>
        </w:rPr>
        <w:t>own understanding</w:t>
      </w:r>
      <w:r>
        <w:rPr>
          <w:szCs w:val="24"/>
        </w:rPr>
        <w:t xml:space="preserve"> get</w:t>
      </w:r>
      <w:r w:rsidR="008C1DE8">
        <w:rPr>
          <w:szCs w:val="24"/>
        </w:rPr>
        <w:t>s</w:t>
      </w:r>
      <w:r>
        <w:rPr>
          <w:szCs w:val="24"/>
        </w:rPr>
        <w:t xml:space="preserve"> right</w:t>
      </w:r>
      <w:r w:rsidR="008C1DE8">
        <w:rPr>
          <w:szCs w:val="24"/>
        </w:rPr>
        <w:t xml:space="preserve"> and</w:t>
      </w:r>
      <w:r>
        <w:rPr>
          <w:szCs w:val="24"/>
        </w:rPr>
        <w:t xml:space="preserve"> that the other person’s understanding gets wrong.</w:t>
      </w:r>
      <w:r w:rsidR="000C1C68">
        <w:rPr>
          <w:szCs w:val="24"/>
        </w:rPr>
        <w:t xml:space="preserve"> </w:t>
      </w:r>
      <w:r w:rsidR="00BF7024">
        <w:rPr>
          <w:szCs w:val="24"/>
        </w:rPr>
        <w:t>Because Larry and Jeff are</w:t>
      </w:r>
      <w:r w:rsidR="00663949">
        <w:rPr>
          <w:szCs w:val="24"/>
        </w:rPr>
        <w:t xml:space="preserve"> taking up the same perspective on their exchange – i.e., because both are assuming that they are after the correct understanding of what art really is – they do not treat their differences in understanding, even when made explicit, as evidence of a lack of </w:t>
      </w:r>
      <w:proofErr w:type="spellStart"/>
      <w:r w:rsidR="00663949">
        <w:rPr>
          <w:szCs w:val="24"/>
        </w:rPr>
        <w:t>samesaying</w:t>
      </w:r>
      <w:proofErr w:type="spellEnd"/>
      <w:r w:rsidR="00663949">
        <w:rPr>
          <w:szCs w:val="24"/>
        </w:rPr>
        <w:t xml:space="preserve">. </w:t>
      </w:r>
      <w:r w:rsidR="00206183">
        <w:rPr>
          <w:szCs w:val="24"/>
        </w:rPr>
        <w:t>Because</w:t>
      </w:r>
      <w:r w:rsidR="00663949">
        <w:rPr>
          <w:szCs w:val="24"/>
        </w:rPr>
        <w:t xml:space="preserve"> they take up this perspective, they assume the other speaker is concerned with the very same thing</w:t>
      </w:r>
      <w:r w:rsidR="00A240B9">
        <w:rPr>
          <w:szCs w:val="24"/>
        </w:rPr>
        <w:t xml:space="preserve"> they are</w:t>
      </w:r>
      <w:r w:rsidR="00663949">
        <w:rPr>
          <w:szCs w:val="24"/>
        </w:rPr>
        <w:t>, but simply has a mistaken understanding of that thing (rather than a preoccupation with an entirely separate concept).</w:t>
      </w:r>
      <w:r w:rsidR="007C1195">
        <w:rPr>
          <w:rStyle w:val="FootnoteReference"/>
          <w:szCs w:val="24"/>
        </w:rPr>
        <w:footnoteReference w:id="10"/>
      </w:r>
    </w:p>
    <w:p w14:paraId="2173576E" w14:textId="77777777" w:rsidR="00874ABE" w:rsidRPr="00B53D99" w:rsidRDefault="00497C21" w:rsidP="00C014BF">
      <w:pPr>
        <w:rPr>
          <w:szCs w:val="24"/>
        </w:rPr>
      </w:pPr>
      <w:r>
        <w:rPr>
          <w:szCs w:val="24"/>
        </w:rPr>
        <w:tab/>
      </w:r>
      <w:r w:rsidRPr="00B53D99">
        <w:rPr>
          <w:szCs w:val="24"/>
        </w:rPr>
        <w:t xml:space="preserve">Joseph Rouse has pursued a similar approach in analyzing cases of </w:t>
      </w:r>
      <w:r w:rsidR="000C3901" w:rsidRPr="00B53D99">
        <w:rPr>
          <w:szCs w:val="24"/>
        </w:rPr>
        <w:t xml:space="preserve">purported </w:t>
      </w:r>
      <w:r w:rsidRPr="00B53D99">
        <w:rPr>
          <w:szCs w:val="24"/>
        </w:rPr>
        <w:t xml:space="preserve">conceptual change in </w:t>
      </w:r>
      <w:r w:rsidR="0048571B">
        <w:rPr>
          <w:szCs w:val="24"/>
        </w:rPr>
        <w:t>the sciences</w:t>
      </w:r>
      <w:r w:rsidR="003B01E6" w:rsidRPr="00B53D99">
        <w:rPr>
          <w:szCs w:val="24"/>
        </w:rPr>
        <w:t xml:space="preserve">. </w:t>
      </w:r>
      <w:r w:rsidR="00230B55" w:rsidRPr="00B53D99">
        <w:rPr>
          <w:szCs w:val="24"/>
        </w:rPr>
        <w:t xml:space="preserve">Rouse asks whether </w:t>
      </w:r>
      <w:r w:rsidR="000C3901" w:rsidRPr="00B53D99">
        <w:rPr>
          <w:szCs w:val="24"/>
        </w:rPr>
        <w:t>“</w:t>
      </w:r>
      <w:r w:rsidR="00230B55" w:rsidRPr="00B53D99">
        <w:rPr>
          <w:szCs w:val="24"/>
        </w:rPr>
        <w:t xml:space="preserve">our current uses of ‘electron’ or ‘gene’ preserve </w:t>
      </w:r>
      <w:r w:rsidR="00115C8C">
        <w:rPr>
          <w:szCs w:val="24"/>
        </w:rPr>
        <w:t>‘</w:t>
      </w:r>
      <w:r w:rsidR="00230B55" w:rsidRPr="00B53D99">
        <w:rPr>
          <w:szCs w:val="24"/>
        </w:rPr>
        <w:t>a sufficient number of entrenched beliefs and applications</w:t>
      </w:r>
      <w:r w:rsidR="00115C8C">
        <w:rPr>
          <w:szCs w:val="24"/>
        </w:rPr>
        <w:t>’</w:t>
      </w:r>
      <w:r w:rsidR="00230B55" w:rsidRPr="00B53D99">
        <w:rPr>
          <w:szCs w:val="24"/>
        </w:rPr>
        <w:t xml:space="preserve"> from J. J. Thomson’s or Wilhelm Johannsen’s original invocations of these terms to count as part of the same linguistic practice?</w:t>
      </w:r>
      <w:r w:rsidR="000C3901" w:rsidRPr="00B53D99">
        <w:rPr>
          <w:szCs w:val="24"/>
        </w:rPr>
        <w:t>” (2014, 36). He explains that</w:t>
      </w:r>
      <w:r w:rsidR="003B01E6" w:rsidRPr="00B53D99">
        <w:rPr>
          <w:szCs w:val="24"/>
        </w:rPr>
        <w:t xml:space="preserve"> rather than any content needing to be</w:t>
      </w:r>
      <w:r w:rsidR="000C3901" w:rsidRPr="00B53D99">
        <w:rPr>
          <w:szCs w:val="24"/>
        </w:rPr>
        <w:t xml:space="preserve"> shared among speakers in order </w:t>
      </w:r>
      <w:r w:rsidR="000C3901" w:rsidRPr="00B53D99">
        <w:rPr>
          <w:szCs w:val="24"/>
        </w:rPr>
        <w:lastRenderedPageBreak/>
        <w:t xml:space="preserve">for them to count as </w:t>
      </w:r>
      <w:proofErr w:type="spellStart"/>
      <w:r w:rsidR="000C3901" w:rsidRPr="00B53D99">
        <w:rPr>
          <w:szCs w:val="24"/>
        </w:rPr>
        <w:t>s</w:t>
      </w:r>
      <w:r w:rsidR="003500CF">
        <w:rPr>
          <w:szCs w:val="24"/>
        </w:rPr>
        <w:t>a</w:t>
      </w:r>
      <w:r w:rsidR="000C3901" w:rsidRPr="00B53D99">
        <w:rPr>
          <w:szCs w:val="24"/>
        </w:rPr>
        <w:t>mesaying</w:t>
      </w:r>
      <w:proofErr w:type="spellEnd"/>
      <w:r w:rsidR="000C3901" w:rsidRPr="00B53D99">
        <w:rPr>
          <w:szCs w:val="24"/>
        </w:rPr>
        <w:t xml:space="preserve">, “[w]hat </w:t>
      </w:r>
      <w:r w:rsidR="00230B55" w:rsidRPr="00B53D99">
        <w:rPr>
          <w:szCs w:val="24"/>
        </w:rPr>
        <w:t>matters instead are the interrelations among the various uses of a term over time, and the constitutive sense that something has been continuously at stake in the development of th</w:t>
      </w:r>
      <w:r w:rsidR="000C3901" w:rsidRPr="00B53D99">
        <w:rPr>
          <w:szCs w:val="24"/>
        </w:rPr>
        <w:t>e practice in which they occur” (</w:t>
      </w:r>
      <w:r w:rsidR="00230B55" w:rsidRPr="00B53D99">
        <w:rPr>
          <w:szCs w:val="24"/>
        </w:rPr>
        <w:t>37).</w:t>
      </w:r>
      <w:r w:rsidR="003B01E6" w:rsidRPr="00B53D99">
        <w:rPr>
          <w:szCs w:val="24"/>
        </w:rPr>
        <w:t xml:space="preserve"> We allow for </w:t>
      </w:r>
      <w:r w:rsidR="000A73B7" w:rsidRPr="00B53D99">
        <w:rPr>
          <w:rStyle w:val="A1"/>
          <w:sz w:val="24"/>
          <w:szCs w:val="24"/>
        </w:rPr>
        <w:t>“</w:t>
      </w:r>
      <w:r w:rsidR="000A73B7" w:rsidRPr="00B53D99">
        <w:rPr>
          <w:szCs w:val="24"/>
        </w:rPr>
        <w:t>alternative, inconsistent formulations</w:t>
      </w:r>
      <w:r w:rsidR="003B01E6" w:rsidRPr="00B53D99">
        <w:rPr>
          <w:szCs w:val="24"/>
        </w:rPr>
        <w:t xml:space="preserve">” of a concept to count as </w:t>
      </w:r>
      <w:proofErr w:type="spellStart"/>
      <w:r w:rsidR="003B01E6" w:rsidRPr="00B53D99">
        <w:rPr>
          <w:szCs w:val="24"/>
        </w:rPr>
        <w:t>samesaying</w:t>
      </w:r>
      <w:proofErr w:type="spellEnd"/>
      <w:r w:rsidR="003B01E6" w:rsidRPr="00B53D99">
        <w:rPr>
          <w:szCs w:val="24"/>
        </w:rPr>
        <w:t xml:space="preserve"> with us because</w:t>
      </w:r>
      <w:r w:rsidR="000C2F20">
        <w:rPr>
          <w:szCs w:val="24"/>
        </w:rPr>
        <w:t xml:space="preserve"> </w:t>
      </w:r>
      <w:r w:rsidR="00B53D99">
        <w:rPr>
          <w:szCs w:val="24"/>
        </w:rPr>
        <w:t>we assume they are attempting (but failing) to correctly capture the concept in question (30)</w:t>
      </w:r>
      <w:r w:rsidR="000C1C68">
        <w:rPr>
          <w:szCs w:val="24"/>
        </w:rPr>
        <w:t>.</w:t>
      </w:r>
      <w:r w:rsidR="003500CF">
        <w:rPr>
          <w:szCs w:val="24"/>
        </w:rPr>
        <w:t xml:space="preserve"> </w:t>
      </w:r>
    </w:p>
    <w:p w14:paraId="60EDD839" w14:textId="77777777" w:rsidR="007519D2" w:rsidRDefault="000A73B7" w:rsidP="007B5954">
      <w:pPr>
        <w:ind w:firstLine="720"/>
        <w:rPr>
          <w:szCs w:val="24"/>
        </w:rPr>
      </w:pPr>
      <w:r>
        <w:rPr>
          <w:szCs w:val="24"/>
        </w:rPr>
        <w:t xml:space="preserve">Rouse </w:t>
      </w:r>
      <w:r w:rsidR="00152B42">
        <w:rPr>
          <w:szCs w:val="24"/>
        </w:rPr>
        <w:t xml:space="preserve">explains that even in these cases speakers treat one another as </w:t>
      </w:r>
      <w:proofErr w:type="spellStart"/>
      <w:r w:rsidR="00152B42">
        <w:rPr>
          <w:szCs w:val="24"/>
        </w:rPr>
        <w:t>samesaying</w:t>
      </w:r>
      <w:proofErr w:type="spellEnd"/>
      <w:r w:rsidR="00152B42">
        <w:rPr>
          <w:szCs w:val="24"/>
        </w:rPr>
        <w:t xml:space="preserve"> because they hold each other </w:t>
      </w:r>
      <w:r w:rsidRPr="00156000">
        <w:rPr>
          <w:rStyle w:val="A1"/>
          <w:sz w:val="24"/>
          <w:szCs w:val="24"/>
        </w:rPr>
        <w:t>“</w:t>
      </w:r>
      <w:r w:rsidRPr="00156000">
        <w:rPr>
          <w:szCs w:val="24"/>
        </w:rPr>
        <w:t>accountable to</w:t>
      </w:r>
      <w:r>
        <w:rPr>
          <w:szCs w:val="24"/>
        </w:rPr>
        <w:t>…</w:t>
      </w:r>
      <w:r w:rsidRPr="00156000">
        <w:rPr>
          <w:szCs w:val="24"/>
        </w:rPr>
        <w:t>‘something’ (an issue and what is at stake in that issue) that outruns any particular expression of what it is” (2007, 6).</w:t>
      </w:r>
      <w:r>
        <w:rPr>
          <w:szCs w:val="24"/>
        </w:rPr>
        <w:t xml:space="preserve"> This is why Rouse refers to his</w:t>
      </w:r>
      <w:r w:rsidR="003F47BE">
        <w:rPr>
          <w:szCs w:val="24"/>
        </w:rPr>
        <w:t xml:space="preserve"> view as a form of externalism.</w:t>
      </w:r>
      <w:r w:rsidR="001219AC">
        <w:rPr>
          <w:szCs w:val="24"/>
        </w:rPr>
        <w:t xml:space="preserve"> </w:t>
      </w:r>
      <w:r w:rsidR="00097F55">
        <w:rPr>
          <w:szCs w:val="24"/>
        </w:rPr>
        <w:t xml:space="preserve">Because speakers in these cases </w:t>
      </w:r>
      <w:r w:rsidR="00E12E67">
        <w:rPr>
          <w:szCs w:val="24"/>
        </w:rPr>
        <w:t xml:space="preserve">care about </w:t>
      </w:r>
      <w:r w:rsidR="005A7CF1">
        <w:rPr>
          <w:szCs w:val="24"/>
        </w:rPr>
        <w:t>correctness</w:t>
      </w:r>
      <w:r w:rsidR="00E12E67">
        <w:rPr>
          <w:szCs w:val="24"/>
        </w:rPr>
        <w:t xml:space="preserve">, </w:t>
      </w:r>
      <w:r w:rsidR="00097F55">
        <w:rPr>
          <w:szCs w:val="24"/>
        </w:rPr>
        <w:t xml:space="preserve">they take there to be “something” that their linguistic activity is accountable to that would make a formulation count as </w:t>
      </w:r>
      <w:r w:rsidR="00C11031">
        <w:rPr>
          <w:szCs w:val="24"/>
        </w:rPr>
        <w:t>correct or incorrect</w:t>
      </w:r>
      <w:r w:rsidR="00E12E67">
        <w:rPr>
          <w:szCs w:val="24"/>
        </w:rPr>
        <w:t xml:space="preserve">. </w:t>
      </w:r>
      <w:r w:rsidR="00C11031">
        <w:rPr>
          <w:szCs w:val="24"/>
        </w:rPr>
        <w:t xml:space="preserve">For </w:t>
      </w:r>
      <w:r w:rsidR="009934C5">
        <w:rPr>
          <w:szCs w:val="24"/>
        </w:rPr>
        <w:t>a formulation</w:t>
      </w:r>
      <w:r w:rsidR="00C11031">
        <w:rPr>
          <w:szCs w:val="24"/>
        </w:rPr>
        <w:t xml:space="preserve"> to count as such</w:t>
      </w:r>
      <w:r w:rsidR="007B5954">
        <w:rPr>
          <w:szCs w:val="24"/>
        </w:rPr>
        <w:t xml:space="preserve"> requires that there be “something” </w:t>
      </w:r>
      <w:r w:rsidR="009934C5">
        <w:rPr>
          <w:szCs w:val="24"/>
        </w:rPr>
        <w:t>speakers’</w:t>
      </w:r>
      <w:r w:rsidR="007B5954">
        <w:rPr>
          <w:szCs w:val="24"/>
        </w:rPr>
        <w:t xml:space="preserve"> respective internal understandings are aiming towards, but that is not reducible to these understandings</w:t>
      </w:r>
      <w:r w:rsidR="00C7524A">
        <w:rPr>
          <w:szCs w:val="24"/>
        </w:rPr>
        <w:t xml:space="preserve"> (</w:t>
      </w:r>
      <w:r w:rsidR="00097F55">
        <w:rPr>
          <w:szCs w:val="24"/>
        </w:rPr>
        <w:t>as the internalist would have it</w:t>
      </w:r>
      <w:r w:rsidR="00C7524A">
        <w:rPr>
          <w:szCs w:val="24"/>
        </w:rPr>
        <w:t>)</w:t>
      </w:r>
      <w:r w:rsidR="00097F55">
        <w:rPr>
          <w:szCs w:val="24"/>
        </w:rPr>
        <w:t>.</w:t>
      </w:r>
    </w:p>
    <w:p w14:paraId="1F8CE491" w14:textId="77777777" w:rsidR="00361B50" w:rsidRDefault="005E2324" w:rsidP="00C7524A">
      <w:pPr>
        <w:ind w:firstLine="720"/>
      </w:pPr>
      <w:r>
        <w:t xml:space="preserve">There is no need, on </w:t>
      </w:r>
      <w:r w:rsidR="00E94936">
        <w:t>the approach Rouse and I recommend</w:t>
      </w:r>
      <w:r>
        <w:t>, to</w:t>
      </w:r>
      <w:r w:rsidR="00534BD3">
        <w:t xml:space="preserve"> further</w:t>
      </w:r>
      <w:r>
        <w:t xml:space="preserve"> hypostatize the “something” that both speakers are aiming to capture when they are trying to get a certain concept right. The sense that there is </w:t>
      </w:r>
      <w:r w:rsidR="005242B2">
        <w:t xml:space="preserve">“something” that we are attempting to capture </w:t>
      </w:r>
      <w:r w:rsidR="00BF7024">
        <w:t>stem</w:t>
      </w:r>
      <w:r w:rsidR="005242B2">
        <w:t>s from the fact that we are ad</w:t>
      </w:r>
      <w:r w:rsidR="00357CE8">
        <w:t>opting a particular perspective –</w:t>
      </w:r>
      <w:r w:rsidR="005242B2">
        <w:t xml:space="preserve"> that we are tryi</w:t>
      </w:r>
      <w:r w:rsidR="0093465E">
        <w:t>ng to have (and take other</w:t>
      </w:r>
      <w:r w:rsidR="00C11031">
        <w:t>s</w:t>
      </w:r>
      <w:r w:rsidR="005242B2">
        <w:t xml:space="preserve"> to be trying to have) a </w:t>
      </w:r>
      <w:r w:rsidR="005242B2">
        <w:rPr>
          <w:i/>
        </w:rPr>
        <w:t xml:space="preserve">correct </w:t>
      </w:r>
      <w:r w:rsidR="005242B2">
        <w:t>understanding. Becaus</w:t>
      </w:r>
      <w:r w:rsidR="00357CE8">
        <w:t>e we adopt this perspective, we take there to be something that outstrips our understanding that we are both attempting to get right</w:t>
      </w:r>
      <w:r w:rsidR="003C15CA">
        <w:t>, that we are both accountable to</w:t>
      </w:r>
      <w:r w:rsidR="00357CE8">
        <w:t xml:space="preserve">. </w:t>
      </w:r>
      <w:proofErr w:type="spellStart"/>
      <w:r w:rsidR="00C11031">
        <w:t>M</w:t>
      </w:r>
      <w:r w:rsidR="0093465E">
        <w:t>etasemantically</w:t>
      </w:r>
      <w:proofErr w:type="spellEnd"/>
      <w:r w:rsidR="0093465E">
        <w:t>,</w:t>
      </w:r>
      <w:r w:rsidR="00C11031">
        <w:t xml:space="preserve"> however,</w:t>
      </w:r>
      <w:r w:rsidR="0093465E">
        <w:t xml:space="preserve"> we </w:t>
      </w:r>
      <w:r w:rsidR="00897033">
        <w:t xml:space="preserve">can remain </w:t>
      </w:r>
      <w:r w:rsidR="005242B2">
        <w:t xml:space="preserve">maximally non-committal </w:t>
      </w:r>
      <w:r w:rsidR="003C15CA">
        <w:t>about the nature of this “something” that we project from within this perspective</w:t>
      </w:r>
      <w:r w:rsidR="00897033">
        <w:t xml:space="preserve">. That we take there to be a “something” we are all after is </w:t>
      </w:r>
      <w:r w:rsidR="00020098">
        <w:t xml:space="preserve">a </w:t>
      </w:r>
      <w:r w:rsidR="00897033">
        <w:t>p</w:t>
      </w:r>
      <w:r w:rsidR="00534BD3">
        <w:t xml:space="preserve">henomenon that </w:t>
      </w:r>
      <w:r w:rsidR="00020098">
        <w:t xml:space="preserve">appears from </w:t>
      </w:r>
      <w:r w:rsidR="00020098" w:rsidRPr="00C7524A">
        <w:rPr>
          <w:i/>
        </w:rPr>
        <w:t>within</w:t>
      </w:r>
      <w:r w:rsidR="00020098">
        <w:t xml:space="preserve"> </w:t>
      </w:r>
      <w:r w:rsidR="00897033">
        <w:t>the specific perspecti</w:t>
      </w:r>
      <w:r w:rsidR="00361B50">
        <w:t>ve we adopt in the</w:t>
      </w:r>
      <w:r w:rsidR="00C11031">
        <w:t>se exchanges. We</w:t>
      </w:r>
      <w:r w:rsidR="00897033">
        <w:t xml:space="preserve"> need </w:t>
      </w:r>
      <w:r w:rsidR="00020098">
        <w:t xml:space="preserve">not </w:t>
      </w:r>
      <w:r w:rsidR="00897033">
        <w:t xml:space="preserve">say </w:t>
      </w:r>
      <w:r w:rsidR="00020098">
        <w:t>anything</w:t>
      </w:r>
      <w:r w:rsidR="00897033">
        <w:t xml:space="preserve"> else abou</w:t>
      </w:r>
      <w:r w:rsidR="00361B50">
        <w:t>t the nature of this “something”</w:t>
      </w:r>
      <w:r w:rsidR="00C11031">
        <w:t xml:space="preserve"> </w:t>
      </w:r>
      <w:proofErr w:type="spellStart"/>
      <w:r w:rsidR="00C11031">
        <w:t>metasemantically</w:t>
      </w:r>
      <w:proofErr w:type="spellEnd"/>
      <w:r w:rsidR="00897033">
        <w:t xml:space="preserve">, including </w:t>
      </w:r>
      <w:r w:rsidR="00361B50">
        <w:t>whether</w:t>
      </w:r>
      <w:r w:rsidR="00897033">
        <w:t xml:space="preserve"> it</w:t>
      </w:r>
      <w:r w:rsidR="00361B50">
        <w:t xml:space="preserve"> ultimately</w:t>
      </w:r>
      <w:r w:rsidR="00897033">
        <w:t xml:space="preserve"> corresponds to a </w:t>
      </w:r>
      <w:r w:rsidR="00361B50">
        <w:t>specific</w:t>
      </w:r>
      <w:r w:rsidR="00897033">
        <w:t xml:space="preserve"> </w:t>
      </w:r>
      <w:r w:rsidR="008F023B">
        <w:t xml:space="preserve">entity, </w:t>
      </w:r>
      <w:r w:rsidR="00C7524A">
        <w:t xml:space="preserve">a </w:t>
      </w:r>
      <w:r w:rsidR="0036444A">
        <w:t>topic</w:t>
      </w:r>
      <w:r w:rsidR="008F023B">
        <w:t>,</w:t>
      </w:r>
      <w:r w:rsidR="00897033">
        <w:t xml:space="preserve"> or </w:t>
      </w:r>
      <w:r w:rsidR="00C7524A">
        <w:t xml:space="preserve">a </w:t>
      </w:r>
      <w:r w:rsidR="0036444A">
        <w:t>concept</w:t>
      </w:r>
      <w:r w:rsidR="00897033">
        <w:t xml:space="preserve"> that exists over and above our linguistic practices</w:t>
      </w:r>
      <w:r w:rsidR="00361B50">
        <w:t xml:space="preserve"> in the extra-linguistic world.</w:t>
      </w:r>
    </w:p>
    <w:p w14:paraId="7B294AB1" w14:textId="77777777" w:rsidR="00C11031" w:rsidRPr="00C11031" w:rsidRDefault="005174E3" w:rsidP="0093465E">
      <w:pPr>
        <w:ind w:firstLine="720"/>
      </w:pPr>
      <w:r>
        <w:t xml:space="preserve">If we </w:t>
      </w:r>
      <w:r w:rsidR="0012122B">
        <w:t xml:space="preserve">instead direct </w:t>
      </w:r>
      <w:r>
        <w:t xml:space="preserve">our </w:t>
      </w:r>
      <w:r w:rsidR="0012122B">
        <w:t>attention</w:t>
      </w:r>
      <w:r>
        <w:t xml:space="preserve">, as Rouse </w:t>
      </w:r>
      <w:r w:rsidR="00C11031">
        <w:t>and I do</w:t>
      </w:r>
      <w:r>
        <w:t>, to the perspective and attendant practices tha</w:t>
      </w:r>
      <w:r w:rsidR="000A38A4">
        <w:t xml:space="preserve">t give rise to the sense that there is a shared “something” we are all trying to get right, then we need say nothing further about the nature or status of this “something” </w:t>
      </w:r>
      <w:r w:rsidR="00A9086D">
        <w:t>beyond</w:t>
      </w:r>
      <w:r w:rsidR="000A38A4">
        <w:t xml:space="preserve"> diagnosing</w:t>
      </w:r>
      <w:r w:rsidR="00EB1C69">
        <w:t xml:space="preserve"> h</w:t>
      </w:r>
      <w:r w:rsidR="00685657">
        <w:t xml:space="preserve">ow </w:t>
      </w:r>
      <w:r w:rsidR="00A9086D">
        <w:t>such an</w:t>
      </w:r>
      <w:r w:rsidR="00685657">
        <w:t xml:space="preserve"> appearance comes to be. How</w:t>
      </w:r>
      <w:r w:rsidR="00A9086D">
        <w:t xml:space="preserve"> concretely</w:t>
      </w:r>
      <w:r w:rsidR="00685657">
        <w:t xml:space="preserve"> this “something”</w:t>
      </w:r>
      <w:r w:rsidR="00FE7689">
        <w:t xml:space="preserve"> </w:t>
      </w:r>
      <w:r w:rsidR="00685657">
        <w:t xml:space="preserve">gets cashed out will </w:t>
      </w:r>
      <w:r w:rsidR="00FE7689">
        <w:t>likely shift radically over time</w:t>
      </w:r>
      <w:r w:rsidR="0093465E">
        <w:t>; in the case of natural kin</w:t>
      </w:r>
      <w:r w:rsidR="00C11031">
        <w:t>ds, our understanding of a</w:t>
      </w:r>
      <w:r w:rsidR="0093465E">
        <w:t xml:space="preserve"> kind will shift as</w:t>
      </w:r>
      <w:r w:rsidR="00FE7689">
        <w:t xml:space="preserve"> our scientific theories </w:t>
      </w:r>
      <w:r w:rsidR="0093465E">
        <w:t>change and evolve over time. To avoid ruling out dissen</w:t>
      </w:r>
      <w:r w:rsidR="00C11031">
        <w:t xml:space="preserve">ting or novel understandings of this kind or </w:t>
      </w:r>
      <w:r w:rsidR="0093465E">
        <w:t>an</w:t>
      </w:r>
      <w:r w:rsidR="002E17C2">
        <w:t>y</w:t>
      </w:r>
      <w:r w:rsidR="0093465E">
        <w:t xml:space="preserve"> concept/topic in advance, we </w:t>
      </w:r>
      <w:r w:rsidR="00C11031">
        <w:t xml:space="preserve">should opt for the perspective and practice-based approach to externalism that remains entirely non-committal about what </w:t>
      </w:r>
      <w:r w:rsidR="002E17C2">
        <w:t xml:space="preserve">this “something” is </w:t>
      </w:r>
      <w:r w:rsidR="00C11031">
        <w:t xml:space="preserve">that the relevant speakers are </w:t>
      </w:r>
      <w:proofErr w:type="spellStart"/>
      <w:r w:rsidR="00C11031">
        <w:t>samesaying</w:t>
      </w:r>
      <w:proofErr w:type="spellEnd"/>
      <w:r w:rsidR="00C11031">
        <w:t xml:space="preserve"> </w:t>
      </w:r>
      <w:r w:rsidR="00C11031" w:rsidRPr="002E17C2">
        <w:t>about.</w:t>
      </w:r>
    </w:p>
    <w:p w14:paraId="7A235518" w14:textId="77777777" w:rsidR="00A755F3" w:rsidRDefault="00FE7689" w:rsidP="00C11031">
      <w:pPr>
        <w:ind w:firstLine="720"/>
      </w:pPr>
      <w:r>
        <w:t xml:space="preserve">The fact that the perspective-based approach I have urged allows us to remain </w:t>
      </w:r>
      <w:r w:rsidR="00C11031">
        <w:t>silent</w:t>
      </w:r>
      <w:r>
        <w:t xml:space="preserve"> about the nature of the </w:t>
      </w:r>
      <w:r w:rsidR="00CE039B">
        <w:t>subject matter</w:t>
      </w:r>
      <w:r>
        <w:t xml:space="preserve"> </w:t>
      </w:r>
      <w:r w:rsidR="00C11031">
        <w:t>speakers</w:t>
      </w:r>
      <w:r>
        <w:t xml:space="preserve"> are prospectively trying to get right is why I have also utilized </w:t>
      </w:r>
      <w:r w:rsidR="00CE039B">
        <w:t>a range of</w:t>
      </w:r>
      <w:r>
        <w:t xml:space="preserve"> terminology in this section to refer to the target of different speakers’ under</w:t>
      </w:r>
      <w:r w:rsidR="0093465E">
        <w:t>standings</w:t>
      </w:r>
      <w:r>
        <w:t xml:space="preserve">. I have, for example, </w:t>
      </w:r>
      <w:r w:rsidR="00CE039B">
        <w:t xml:space="preserve">variously </w:t>
      </w:r>
      <w:r>
        <w:t xml:space="preserve">referred to the </w:t>
      </w:r>
      <w:r w:rsidR="005A2AC5">
        <w:t>‘</w:t>
      </w:r>
      <w:r w:rsidR="00A755F3">
        <w:t>entities</w:t>
      </w:r>
      <w:r w:rsidR="005A2AC5">
        <w:t>’,</w:t>
      </w:r>
      <w:r w:rsidR="00A755F3">
        <w:t xml:space="preserve"> </w:t>
      </w:r>
      <w:r w:rsidR="005A2AC5">
        <w:t>‘</w:t>
      </w:r>
      <w:r w:rsidR="00A755F3">
        <w:t>concepts</w:t>
      </w:r>
      <w:r w:rsidR="005A2AC5">
        <w:t>’,</w:t>
      </w:r>
      <w:r w:rsidR="00A755F3">
        <w:t xml:space="preserve"> </w:t>
      </w:r>
      <w:r w:rsidR="005A2AC5">
        <w:t>‘</w:t>
      </w:r>
      <w:r w:rsidR="00A755F3">
        <w:t>terms</w:t>
      </w:r>
      <w:r w:rsidR="005A2AC5">
        <w:t>’,</w:t>
      </w:r>
      <w:r w:rsidR="00A755F3">
        <w:t xml:space="preserve"> </w:t>
      </w:r>
      <w:r w:rsidR="005A2AC5">
        <w:t>‘</w:t>
      </w:r>
      <w:r w:rsidR="00A755F3">
        <w:t>topics</w:t>
      </w:r>
      <w:r w:rsidR="005A2AC5">
        <w:t>’</w:t>
      </w:r>
      <w:r w:rsidR="00A755F3">
        <w:t xml:space="preserve">, and </w:t>
      </w:r>
      <w:r w:rsidR="005A2AC5">
        <w:t>‘</w:t>
      </w:r>
      <w:r w:rsidR="00A755F3">
        <w:t>subject matters</w:t>
      </w:r>
      <w:r w:rsidR="005A2AC5">
        <w:t>’</w:t>
      </w:r>
      <w:r w:rsidR="00A755F3">
        <w:t xml:space="preserve"> speake</w:t>
      </w:r>
      <w:r w:rsidR="0065462E">
        <w:t>rs are attempting to get right. How speakers will choose to characterize the precise nature of the “something” they are trying to get right will depend on the specifics of each case</w:t>
      </w:r>
      <w:r w:rsidR="0093465E">
        <w:t xml:space="preserve"> and is not something we should try and dictate from the armchair</w:t>
      </w:r>
      <w:r w:rsidR="0065462E">
        <w:t xml:space="preserve">. Again, we should </w:t>
      </w:r>
      <w:r w:rsidR="002015F6">
        <w:t xml:space="preserve">not settle </w:t>
      </w:r>
      <w:r w:rsidR="0065462E">
        <w:t xml:space="preserve">in advance through our </w:t>
      </w:r>
      <w:proofErr w:type="spellStart"/>
      <w:r w:rsidR="0065462E">
        <w:t>metasemantics</w:t>
      </w:r>
      <w:proofErr w:type="spellEnd"/>
      <w:r w:rsidR="0065462E">
        <w:t xml:space="preserve"> how inquiry will play out by positing additional hypo</w:t>
      </w:r>
      <w:r w:rsidR="002C12F3">
        <w:t xml:space="preserve">statized </w:t>
      </w:r>
      <w:r w:rsidR="00A612A4">
        <w:t>categories or entities</w:t>
      </w:r>
      <w:r w:rsidR="00AF761C">
        <w:t>, such as</w:t>
      </w:r>
      <w:r w:rsidR="002357B1">
        <w:t xml:space="preserve"> </w:t>
      </w:r>
      <w:proofErr w:type="gramStart"/>
      <w:r w:rsidR="002357B1">
        <w:t xml:space="preserve">a specific </w:t>
      </w:r>
      <w:r w:rsidR="00AF761C">
        <w:t>“</w:t>
      </w:r>
      <w:r w:rsidR="002357B1">
        <w:t>topic</w:t>
      </w:r>
      <w:r w:rsidR="00AF761C">
        <w:t>”</w:t>
      </w:r>
      <w:r w:rsidR="002357B1">
        <w:t xml:space="preserve"> speakers</w:t>
      </w:r>
      <w:proofErr w:type="gramEnd"/>
      <w:r w:rsidR="002357B1">
        <w:t xml:space="preserve"> are </w:t>
      </w:r>
      <w:proofErr w:type="spellStart"/>
      <w:r w:rsidR="002357B1">
        <w:t>samesaying</w:t>
      </w:r>
      <w:proofErr w:type="spellEnd"/>
      <w:r w:rsidR="002357B1">
        <w:t xml:space="preserve"> about or </w:t>
      </w:r>
      <w:r w:rsidR="00BB7907">
        <w:t xml:space="preserve">a </w:t>
      </w:r>
      <w:r w:rsidR="00AF761C">
        <w:t>“</w:t>
      </w:r>
      <w:r w:rsidR="002357B1">
        <w:t>concept</w:t>
      </w:r>
      <w:r w:rsidR="00AF761C">
        <w:t>”</w:t>
      </w:r>
      <w:r w:rsidR="002357B1">
        <w:t xml:space="preserve"> all speakers are tracking</w:t>
      </w:r>
      <w:r w:rsidR="00D05AAD">
        <w:t xml:space="preserve">. We can avoid this trap by working instead to </w:t>
      </w:r>
      <w:r w:rsidR="00AF761C">
        <w:t>characteriz</w:t>
      </w:r>
      <w:r w:rsidR="00D05AAD">
        <w:t xml:space="preserve">e </w:t>
      </w:r>
      <w:r w:rsidR="002C12F3">
        <w:t xml:space="preserve">the perspective and </w:t>
      </w:r>
      <w:r w:rsidR="002C12F3">
        <w:lastRenderedPageBreak/>
        <w:t xml:space="preserve">practices of speakers that give rise to the </w:t>
      </w:r>
      <w:r w:rsidR="00F353DA">
        <w:t>sense that there is</w:t>
      </w:r>
      <w:r w:rsidR="00AF761C">
        <w:t xml:space="preserve"> something of mutual concern they are all after.</w:t>
      </w:r>
    </w:p>
    <w:p w14:paraId="38847008" w14:textId="77777777" w:rsidR="001E2D7C" w:rsidRDefault="003B617A" w:rsidP="00AF761C">
      <w:pPr>
        <w:ind w:firstLine="720"/>
      </w:pPr>
      <w:r>
        <w:t>In this section, I have offered an alternative approach to the</w:t>
      </w:r>
      <w:r w:rsidR="007A1EDE">
        <w:t xml:space="preserve"> one </w:t>
      </w:r>
      <w:proofErr w:type="spellStart"/>
      <w:r w:rsidR="007A1EDE">
        <w:t>Cappelen</w:t>
      </w:r>
      <w:proofErr w:type="spellEnd"/>
      <w:r w:rsidR="007A1EDE">
        <w:t xml:space="preserve"> and Sawyer take</w:t>
      </w:r>
      <w:r w:rsidR="00B91C19">
        <w:t xml:space="preserve"> </w:t>
      </w:r>
      <w:r w:rsidR="007A1EDE">
        <w:t xml:space="preserve">on </w:t>
      </w:r>
      <w:r>
        <w:t xml:space="preserve">how we manage to </w:t>
      </w:r>
      <w:proofErr w:type="spellStart"/>
      <w:r>
        <w:t>samesay</w:t>
      </w:r>
      <w:proofErr w:type="spellEnd"/>
      <w:r>
        <w:t xml:space="preserve"> with speakers whose understandings fundamentally diverge from our own. I have suggested we </w:t>
      </w:r>
      <w:r w:rsidR="00AF761C">
        <w:t xml:space="preserve">first </w:t>
      </w:r>
      <w:r>
        <w:t>consider the perspective</w:t>
      </w:r>
      <w:r w:rsidR="00AF761C">
        <w:t xml:space="preserve"> we adopt</w:t>
      </w:r>
      <w:r>
        <w:t xml:space="preserve"> that gives rise to </w:t>
      </w:r>
      <w:r w:rsidR="00AF761C">
        <w:t>our</w:t>
      </w:r>
      <w:r>
        <w:t xml:space="preserve"> judgment</w:t>
      </w:r>
      <w:r w:rsidR="00AF761C">
        <w:t>s</w:t>
      </w:r>
      <w:r>
        <w:t xml:space="preserve"> of </w:t>
      </w:r>
      <w:proofErr w:type="spellStart"/>
      <w:r>
        <w:t>samesaying</w:t>
      </w:r>
      <w:proofErr w:type="spellEnd"/>
      <w:r>
        <w:t xml:space="preserve"> and have offered an account of this perspective</w:t>
      </w:r>
      <w:r w:rsidR="00AF761C">
        <w:t>, which I have called</w:t>
      </w:r>
      <w:r>
        <w:t xml:space="preserve"> </w:t>
      </w:r>
      <w:r w:rsidR="001E2D7C">
        <w:t xml:space="preserve">a </w:t>
      </w:r>
      <w:r w:rsidR="001E2D7C">
        <w:rPr>
          <w:i/>
        </w:rPr>
        <w:t>prospective externalist</w:t>
      </w:r>
      <w:r w:rsidR="00AF761C">
        <w:t xml:space="preserve"> perspective. We adopt this perspective </w:t>
      </w:r>
      <w:r w:rsidR="001E2D7C">
        <w:t>when</w:t>
      </w:r>
      <w:r w:rsidR="00AF761C">
        <w:t>ever</w:t>
      </w:r>
      <w:r w:rsidR="001E2D7C">
        <w:t xml:space="preserve"> we are </w:t>
      </w:r>
      <w:r w:rsidR="004A0BC8">
        <w:t>en</w:t>
      </w:r>
      <w:r w:rsidR="00C9630A">
        <w:t>gaged in the forward-looking project of trying to</w:t>
      </w:r>
      <w:r w:rsidR="001E2D7C">
        <w:t xml:space="preserve"> get some subject matter right and therefore take fundamentally diverging understandings of this sub</w:t>
      </w:r>
      <w:r w:rsidR="0093465E">
        <w:t xml:space="preserve">ject matter to be </w:t>
      </w:r>
      <w:proofErr w:type="spellStart"/>
      <w:r w:rsidR="0093465E">
        <w:t>samesaying</w:t>
      </w:r>
      <w:proofErr w:type="spellEnd"/>
      <w:r w:rsidR="0093465E">
        <w:t xml:space="preserve"> </w:t>
      </w:r>
      <w:r w:rsidR="00C9630A">
        <w:t xml:space="preserve">with us </w:t>
      </w:r>
      <w:r w:rsidR="0012122B">
        <w:t>(but to be wrong or mistaken)</w:t>
      </w:r>
      <w:r w:rsidR="002015F6">
        <w:t>, rather than concerned with</w:t>
      </w:r>
      <w:r w:rsidR="001E2D7C">
        <w:t xml:space="preserve"> an altogether different subject matter.</w:t>
      </w:r>
      <w:r w:rsidR="00F17528">
        <w:t xml:space="preserve"> </w:t>
      </w:r>
      <w:r>
        <w:t>I have also argued that a</w:t>
      </w:r>
      <w:r w:rsidR="001E2D7C">
        <w:t xml:space="preserve"> key advantage of this approach over other </w:t>
      </w:r>
      <w:r w:rsidR="002015F6">
        <w:t xml:space="preserve">externalist </w:t>
      </w:r>
      <w:r w:rsidR="001E2D7C">
        <w:t>views</w:t>
      </w:r>
      <w:r w:rsidR="004A0BC8">
        <w:t xml:space="preserve"> that are not sensitive to the role of perspective and practice </w:t>
      </w:r>
      <w:r w:rsidR="001E2D7C">
        <w:t xml:space="preserve">is that we </w:t>
      </w:r>
      <w:r w:rsidR="00C26DCC">
        <w:t>do not have to hypostatize or infl</w:t>
      </w:r>
      <w:r w:rsidR="001E2D7C">
        <w:t xml:space="preserve">ate our </w:t>
      </w:r>
      <w:proofErr w:type="spellStart"/>
      <w:r w:rsidR="001E2D7C">
        <w:t>metasemantic</w:t>
      </w:r>
      <w:proofErr w:type="spellEnd"/>
      <w:r w:rsidR="001E2D7C">
        <w:t xml:space="preserve"> categories: there are no “topics”, “concepts”, or </w:t>
      </w:r>
      <w:r w:rsidR="00366370">
        <w:t>anything determinate a speaker must subscribe to</w:t>
      </w:r>
      <w:r w:rsidR="0093465E">
        <w:t xml:space="preserve"> or pick out</w:t>
      </w:r>
      <w:r w:rsidR="00366370">
        <w:t xml:space="preserve"> in order to count as </w:t>
      </w:r>
      <w:proofErr w:type="spellStart"/>
      <w:r w:rsidR="00366370">
        <w:t>samesaying</w:t>
      </w:r>
      <w:proofErr w:type="spellEnd"/>
      <w:r w:rsidR="00366370">
        <w:t xml:space="preserve">. Speakers count as </w:t>
      </w:r>
      <w:proofErr w:type="spellStart"/>
      <w:r w:rsidR="00366370">
        <w:t>samesaying</w:t>
      </w:r>
      <w:proofErr w:type="spellEnd"/>
      <w:r w:rsidR="00366370">
        <w:t xml:space="preserve"> because</w:t>
      </w:r>
      <w:r w:rsidR="0093465E">
        <w:t xml:space="preserve"> they are taken to be</w:t>
      </w:r>
      <w:r w:rsidR="00F17528">
        <w:t xml:space="preserve"> by other speakers</w:t>
      </w:r>
      <w:r w:rsidR="003809F8">
        <w:t xml:space="preserve"> – other speakers</w:t>
      </w:r>
      <w:r w:rsidR="00B046D6">
        <w:t xml:space="preserve"> who </w:t>
      </w:r>
      <w:r>
        <w:t>assume they are all trying to get the same thing right</w:t>
      </w:r>
      <w:r w:rsidR="0093465E">
        <w:t xml:space="preserve">. </w:t>
      </w:r>
    </w:p>
    <w:p w14:paraId="4BCAB58D" w14:textId="77777777" w:rsidR="000F725B" w:rsidRDefault="000F725B" w:rsidP="00483CF3">
      <w:pPr>
        <w:ind w:firstLine="720"/>
        <w:rPr>
          <w:rFonts w:cs="Palatino nova"/>
          <w:color w:val="000000"/>
          <w:szCs w:val="24"/>
        </w:rPr>
      </w:pPr>
      <w:r>
        <w:rPr>
          <w:rFonts w:cs="Palatino nova"/>
          <w:color w:val="000000"/>
          <w:szCs w:val="24"/>
        </w:rPr>
        <w:t xml:space="preserve">Perhaps, though, it seems odd to call </w:t>
      </w:r>
      <w:r w:rsidR="00F811FB">
        <w:rPr>
          <w:rFonts w:cs="Palatino nova"/>
          <w:color w:val="000000"/>
          <w:szCs w:val="24"/>
        </w:rPr>
        <w:t xml:space="preserve">this </w:t>
      </w:r>
      <w:r>
        <w:rPr>
          <w:rFonts w:cs="Palatino nova"/>
          <w:color w:val="000000"/>
          <w:szCs w:val="24"/>
        </w:rPr>
        <w:t xml:space="preserve">prospective externalism a </w:t>
      </w:r>
      <w:r w:rsidR="00442C66">
        <w:rPr>
          <w:rFonts w:cs="Palatino nova"/>
          <w:color w:val="000000"/>
          <w:szCs w:val="24"/>
        </w:rPr>
        <w:t>‘</w:t>
      </w:r>
      <w:r>
        <w:rPr>
          <w:rFonts w:cs="Palatino nova"/>
          <w:color w:val="000000"/>
          <w:szCs w:val="24"/>
        </w:rPr>
        <w:t>perspective</w:t>
      </w:r>
      <w:r w:rsidR="00442C66">
        <w:rPr>
          <w:rFonts w:cs="Palatino nova"/>
          <w:color w:val="000000"/>
          <w:szCs w:val="24"/>
        </w:rPr>
        <w:t>’</w:t>
      </w:r>
      <w:r>
        <w:rPr>
          <w:rFonts w:cs="Palatino nova"/>
          <w:color w:val="000000"/>
          <w:szCs w:val="24"/>
        </w:rPr>
        <w:t xml:space="preserve">. </w:t>
      </w:r>
      <w:r w:rsidR="00B544CF">
        <w:rPr>
          <w:rFonts w:cs="Palatino nova"/>
          <w:color w:val="000000"/>
          <w:szCs w:val="24"/>
        </w:rPr>
        <w:t>It may seem</w:t>
      </w:r>
      <w:r w:rsidR="008A1B27">
        <w:rPr>
          <w:rFonts w:cs="Palatino nova"/>
          <w:color w:val="000000"/>
          <w:szCs w:val="24"/>
        </w:rPr>
        <w:t xml:space="preserve"> that what I have describe</w:t>
      </w:r>
      <w:r w:rsidR="008F4793">
        <w:rPr>
          <w:rFonts w:cs="Palatino nova"/>
          <w:color w:val="000000"/>
          <w:szCs w:val="24"/>
        </w:rPr>
        <w:t>d</w:t>
      </w:r>
      <w:r w:rsidR="008A1B27">
        <w:rPr>
          <w:rFonts w:cs="Palatino nova"/>
          <w:color w:val="000000"/>
          <w:szCs w:val="24"/>
        </w:rPr>
        <w:t xml:space="preserve"> in this section</w:t>
      </w:r>
      <w:r>
        <w:rPr>
          <w:rFonts w:cs="Palatino nova"/>
          <w:color w:val="000000"/>
          <w:szCs w:val="24"/>
        </w:rPr>
        <w:t xml:space="preserve"> is </w:t>
      </w:r>
      <w:r w:rsidR="00F22422">
        <w:rPr>
          <w:rFonts w:cs="Palatino nova"/>
          <w:color w:val="000000"/>
          <w:szCs w:val="24"/>
        </w:rPr>
        <w:t>simply</w:t>
      </w:r>
      <w:r w:rsidR="008F4793">
        <w:rPr>
          <w:rFonts w:cs="Palatino nova"/>
          <w:color w:val="000000"/>
          <w:szCs w:val="24"/>
        </w:rPr>
        <w:t xml:space="preserve"> how we</w:t>
      </w:r>
      <w:r>
        <w:rPr>
          <w:rFonts w:cs="Palatino nova"/>
          <w:color w:val="000000"/>
          <w:szCs w:val="24"/>
        </w:rPr>
        <w:t xml:space="preserve"> </w:t>
      </w:r>
      <w:r w:rsidR="00C94445">
        <w:rPr>
          <w:rFonts w:cs="Palatino nova"/>
          <w:color w:val="000000"/>
          <w:szCs w:val="24"/>
        </w:rPr>
        <w:t>should</w:t>
      </w:r>
      <w:r>
        <w:rPr>
          <w:rFonts w:cs="Palatino nova"/>
          <w:color w:val="000000"/>
          <w:szCs w:val="24"/>
        </w:rPr>
        <w:t xml:space="preserve"> approach disagreements over </w:t>
      </w:r>
      <w:r w:rsidR="008A1B27">
        <w:rPr>
          <w:rFonts w:cs="Palatino nova"/>
          <w:color w:val="000000"/>
          <w:szCs w:val="24"/>
        </w:rPr>
        <w:t xml:space="preserve">concepts </w:t>
      </w:r>
      <w:r w:rsidR="008A1B27" w:rsidRPr="00584BF9">
        <w:rPr>
          <w:rFonts w:cs="Palatino nova"/>
          <w:i/>
          <w:color w:val="000000"/>
          <w:szCs w:val="24"/>
        </w:rPr>
        <w:t>generally</w:t>
      </w:r>
      <w:r w:rsidR="00F22422">
        <w:rPr>
          <w:rFonts w:cs="Palatino nova"/>
          <w:color w:val="000000"/>
          <w:szCs w:val="24"/>
        </w:rPr>
        <w:t xml:space="preserve"> – that </w:t>
      </w:r>
      <w:r w:rsidR="0097440E">
        <w:rPr>
          <w:rFonts w:cs="Palatino nova"/>
          <w:color w:val="000000"/>
          <w:szCs w:val="24"/>
        </w:rPr>
        <w:t>this perspective</w:t>
      </w:r>
      <w:r w:rsidR="001923F0">
        <w:rPr>
          <w:rFonts w:cs="Palatino nova"/>
          <w:color w:val="000000"/>
          <w:szCs w:val="24"/>
        </w:rPr>
        <w:t xml:space="preserve"> is not, as I </w:t>
      </w:r>
      <w:r w:rsidR="0097440E">
        <w:rPr>
          <w:rFonts w:cs="Palatino nova"/>
          <w:color w:val="000000"/>
          <w:szCs w:val="24"/>
        </w:rPr>
        <w:t xml:space="preserve">seem to </w:t>
      </w:r>
      <w:r w:rsidR="001923F0">
        <w:rPr>
          <w:rFonts w:cs="Palatino nova"/>
          <w:color w:val="000000"/>
          <w:szCs w:val="24"/>
        </w:rPr>
        <w:t>imply,</w:t>
      </w:r>
      <w:r w:rsidR="0097440E">
        <w:rPr>
          <w:rFonts w:cs="Palatino nova"/>
          <w:color w:val="000000"/>
          <w:szCs w:val="24"/>
        </w:rPr>
        <w:t xml:space="preserve"> just</w:t>
      </w:r>
      <w:r w:rsidR="007E0A9F">
        <w:rPr>
          <w:rFonts w:cs="Palatino nova"/>
          <w:color w:val="000000"/>
          <w:szCs w:val="24"/>
        </w:rPr>
        <w:t xml:space="preserve"> one of many</w:t>
      </w:r>
      <w:r w:rsidR="00F22422">
        <w:rPr>
          <w:rFonts w:cs="Palatino nova"/>
          <w:color w:val="000000"/>
          <w:szCs w:val="24"/>
        </w:rPr>
        <w:t xml:space="preserve"> we might adopt. </w:t>
      </w:r>
      <w:r>
        <w:rPr>
          <w:rFonts w:cs="Palatino nova"/>
          <w:color w:val="000000"/>
          <w:szCs w:val="24"/>
        </w:rPr>
        <w:t xml:space="preserve">In the </w:t>
      </w:r>
      <w:r w:rsidR="00F22422">
        <w:rPr>
          <w:rFonts w:cs="Palatino nova"/>
          <w:color w:val="000000"/>
          <w:szCs w:val="24"/>
        </w:rPr>
        <w:t xml:space="preserve">next </w:t>
      </w:r>
      <w:r>
        <w:rPr>
          <w:rFonts w:cs="Palatino nova"/>
          <w:color w:val="000000"/>
          <w:szCs w:val="24"/>
        </w:rPr>
        <w:t>section,</w:t>
      </w:r>
      <w:r w:rsidR="00F22422">
        <w:rPr>
          <w:rFonts w:cs="Palatino nova"/>
          <w:color w:val="000000"/>
          <w:szCs w:val="24"/>
        </w:rPr>
        <w:t xml:space="preserve"> however,</w:t>
      </w:r>
      <w:r>
        <w:rPr>
          <w:rFonts w:cs="Palatino nova"/>
          <w:color w:val="000000"/>
          <w:szCs w:val="24"/>
        </w:rPr>
        <w:t xml:space="preserve"> I will show that there is </w:t>
      </w:r>
      <w:r w:rsidR="008F4793">
        <w:rPr>
          <w:rFonts w:cs="Palatino nova"/>
          <w:color w:val="000000"/>
          <w:szCs w:val="24"/>
        </w:rPr>
        <w:t>at least one</w:t>
      </w:r>
      <w:r>
        <w:rPr>
          <w:rFonts w:cs="Palatino nova"/>
          <w:color w:val="000000"/>
          <w:szCs w:val="24"/>
        </w:rPr>
        <w:t xml:space="preserve"> </w:t>
      </w:r>
      <w:r w:rsidR="008A1B27">
        <w:rPr>
          <w:rFonts w:cs="Palatino nova"/>
          <w:color w:val="000000"/>
          <w:szCs w:val="24"/>
        </w:rPr>
        <w:t>alternative</w:t>
      </w:r>
      <w:r w:rsidR="00F22422">
        <w:rPr>
          <w:rFonts w:cs="Palatino nova"/>
          <w:color w:val="000000"/>
          <w:szCs w:val="24"/>
        </w:rPr>
        <w:t xml:space="preserve"> perspective we</w:t>
      </w:r>
      <w:r>
        <w:rPr>
          <w:rFonts w:cs="Palatino nova"/>
          <w:color w:val="000000"/>
          <w:szCs w:val="24"/>
        </w:rPr>
        <w:t xml:space="preserve"> can adopt on </w:t>
      </w:r>
      <w:r w:rsidR="001923F0">
        <w:rPr>
          <w:rFonts w:cs="Palatino nova"/>
          <w:color w:val="000000"/>
          <w:szCs w:val="24"/>
        </w:rPr>
        <w:t>our linguistic practices</w:t>
      </w:r>
      <w:r>
        <w:rPr>
          <w:rFonts w:cs="Palatino nova"/>
          <w:color w:val="000000"/>
          <w:szCs w:val="24"/>
        </w:rPr>
        <w:t xml:space="preserve"> that, in turn, yields</w:t>
      </w:r>
      <w:r w:rsidR="00483CF3">
        <w:rPr>
          <w:rFonts w:cs="Palatino nova"/>
          <w:color w:val="000000"/>
          <w:szCs w:val="24"/>
        </w:rPr>
        <w:t xml:space="preserve"> different verdicts on whether</w:t>
      </w:r>
      <w:r w:rsidR="001923F0">
        <w:rPr>
          <w:rFonts w:cs="Palatino nova"/>
          <w:color w:val="000000"/>
          <w:szCs w:val="24"/>
        </w:rPr>
        <w:t xml:space="preserve"> </w:t>
      </w:r>
      <w:proofErr w:type="spellStart"/>
      <w:r w:rsidR="001923F0">
        <w:rPr>
          <w:rFonts w:cs="Palatino nova"/>
          <w:color w:val="000000"/>
          <w:szCs w:val="24"/>
        </w:rPr>
        <w:t>samesaying</w:t>
      </w:r>
      <w:proofErr w:type="spellEnd"/>
      <w:r w:rsidR="001923F0">
        <w:rPr>
          <w:rFonts w:cs="Palatino nova"/>
          <w:color w:val="000000"/>
          <w:szCs w:val="24"/>
        </w:rPr>
        <w:t xml:space="preserve"> and</w:t>
      </w:r>
      <w:r w:rsidR="008A1B27">
        <w:rPr>
          <w:rFonts w:cs="Palatino nova"/>
          <w:color w:val="000000"/>
          <w:szCs w:val="24"/>
        </w:rPr>
        <w:t xml:space="preserve"> conceptual change </w:t>
      </w:r>
      <w:r w:rsidR="003809F8">
        <w:rPr>
          <w:rFonts w:cs="Palatino nova"/>
          <w:color w:val="000000"/>
          <w:szCs w:val="24"/>
        </w:rPr>
        <w:t>obtain</w:t>
      </w:r>
      <w:r w:rsidR="001923F0">
        <w:rPr>
          <w:rFonts w:cs="Palatino nova"/>
          <w:color w:val="000000"/>
          <w:szCs w:val="24"/>
        </w:rPr>
        <w:t xml:space="preserve"> in particular cases</w:t>
      </w:r>
      <w:r>
        <w:rPr>
          <w:rFonts w:cs="Palatino nova"/>
          <w:color w:val="000000"/>
          <w:szCs w:val="24"/>
        </w:rPr>
        <w:t xml:space="preserve">. </w:t>
      </w:r>
    </w:p>
    <w:p w14:paraId="3AA3C979" w14:textId="77777777" w:rsidR="00863885" w:rsidRPr="00AD0838" w:rsidRDefault="00863885" w:rsidP="00AD0838">
      <w:pPr>
        <w:rPr>
          <w:rFonts w:cs="Palatino nova"/>
          <w:color w:val="000000"/>
          <w:szCs w:val="24"/>
        </w:rPr>
      </w:pPr>
    </w:p>
    <w:p w14:paraId="38750C56" w14:textId="77777777" w:rsidR="00D755C8" w:rsidRDefault="00D755C8" w:rsidP="00D755C8">
      <w:pPr>
        <w:pStyle w:val="ListParagraph"/>
        <w:numPr>
          <w:ilvl w:val="0"/>
          <w:numId w:val="2"/>
        </w:numPr>
        <w:rPr>
          <w:b/>
          <w:i/>
        </w:rPr>
      </w:pPr>
      <w:r>
        <w:rPr>
          <w:b/>
          <w:i/>
        </w:rPr>
        <w:t xml:space="preserve">Retrospective </w:t>
      </w:r>
      <w:proofErr w:type="spellStart"/>
      <w:r>
        <w:rPr>
          <w:b/>
          <w:i/>
        </w:rPr>
        <w:t>internalism</w:t>
      </w:r>
      <w:proofErr w:type="spellEnd"/>
    </w:p>
    <w:p w14:paraId="7D670FDD" w14:textId="77777777" w:rsidR="00863885" w:rsidRDefault="00863885" w:rsidP="006B1892">
      <w:pPr>
        <w:ind w:firstLine="720"/>
        <w:rPr>
          <w:szCs w:val="24"/>
        </w:rPr>
      </w:pPr>
    </w:p>
    <w:p w14:paraId="75D87C34" w14:textId="77777777" w:rsidR="00CF1936" w:rsidRPr="00506085" w:rsidRDefault="00CF1936" w:rsidP="003809F8">
      <w:pPr>
        <w:ind w:firstLine="720"/>
      </w:pPr>
      <w:r>
        <w:t xml:space="preserve">In this section I will present an account of </w:t>
      </w:r>
      <w:r w:rsidR="003809F8">
        <w:t xml:space="preserve">a further perspective we can adopt when we engage linguistically with other speakers – </w:t>
      </w:r>
      <w:r>
        <w:t xml:space="preserve">what I call a </w:t>
      </w:r>
      <w:r w:rsidR="00F17528" w:rsidRPr="00F17528">
        <w:rPr>
          <w:i/>
        </w:rPr>
        <w:t>retrospective internalist</w:t>
      </w:r>
      <w:r>
        <w:t xml:space="preserve"> perspective. We adopt this perspective whenever</w:t>
      </w:r>
      <w:r w:rsidR="007E0281">
        <w:t xml:space="preserve"> we are attempting to make sense of a speaker’s linguistic behavior that </w:t>
      </w:r>
      <w:r w:rsidR="000F10B9">
        <w:t>d</w:t>
      </w:r>
      <w:r w:rsidR="001E34EB">
        <w:t>eviates</w:t>
      </w:r>
      <w:r w:rsidR="003D7E7F">
        <w:t xml:space="preserve"> radically</w:t>
      </w:r>
      <w:r w:rsidR="000F10B9">
        <w:t xml:space="preserve"> from</w:t>
      </w:r>
      <w:r w:rsidR="007E0281">
        <w:t xml:space="preserve"> our own and are </w:t>
      </w:r>
      <w:r w:rsidR="000F10B9">
        <w:t xml:space="preserve">trying </w:t>
      </w:r>
      <w:r w:rsidR="007E0281">
        <w:t xml:space="preserve">to grasp the </w:t>
      </w:r>
      <w:r w:rsidR="000F10B9">
        <w:t xml:space="preserve">underlying concept that could explain this behavior. </w:t>
      </w:r>
      <w:r w:rsidR="001E34EB">
        <w:t xml:space="preserve">When we take up </w:t>
      </w:r>
      <w:r w:rsidR="000F10B9">
        <w:t>this perspective</w:t>
      </w:r>
      <w:r w:rsidR="00506085">
        <w:t>,</w:t>
      </w:r>
      <w:r w:rsidR="000F10B9">
        <w:t xml:space="preserve"> we are not </w:t>
      </w:r>
      <w:r w:rsidR="00121722">
        <w:t>engaged in the forward-looking project of trying to</w:t>
      </w:r>
      <w:r w:rsidR="000F10B9">
        <w:t xml:space="preserve"> get the </w:t>
      </w:r>
      <w:r w:rsidR="002015F6">
        <w:t>concept</w:t>
      </w:r>
      <w:r w:rsidR="00BD76F6">
        <w:t xml:space="preserve"> itself right; we are trying to get </w:t>
      </w:r>
      <w:r w:rsidR="00506085">
        <w:t>the</w:t>
      </w:r>
      <w:r w:rsidR="00BD76F6">
        <w:t xml:space="preserve"> concept another speaker </w:t>
      </w:r>
      <w:r w:rsidR="001064C7">
        <w:t>has</w:t>
      </w:r>
      <w:r w:rsidR="00BD76F6">
        <w:t xml:space="preserve"> in mind</w:t>
      </w:r>
      <w:r w:rsidR="0024250A">
        <w:t xml:space="preserve"> right</w:t>
      </w:r>
      <w:r w:rsidR="00BD76F6">
        <w:t>.</w:t>
      </w:r>
      <w:r w:rsidR="00506085">
        <w:t xml:space="preserve"> Once we do so, we are likely to judge that this concept differs fundamentally from any of our own</w:t>
      </w:r>
      <w:r w:rsidR="001E34EB">
        <w:t>.</w:t>
      </w:r>
      <w:r w:rsidR="001064C7">
        <w:rPr>
          <w:rStyle w:val="FootnoteReference"/>
        </w:rPr>
        <w:footnoteReference w:id="11"/>
      </w:r>
      <w:r w:rsidR="001E34EB">
        <w:t xml:space="preserve"> We will </w:t>
      </w:r>
      <w:r w:rsidR="00B73B36">
        <w:t xml:space="preserve">in turn </w:t>
      </w:r>
      <w:r w:rsidR="005A2AC5">
        <w:t xml:space="preserve">likely </w:t>
      </w:r>
      <w:r w:rsidR="00B73B36">
        <w:t>judge</w:t>
      </w:r>
      <w:r w:rsidR="001E34EB">
        <w:t xml:space="preserve"> that</w:t>
      </w:r>
      <w:r w:rsidR="00DF5185">
        <w:t xml:space="preserve"> we are not </w:t>
      </w:r>
      <w:proofErr w:type="spellStart"/>
      <w:r w:rsidR="00DF5185">
        <w:t>samesaying</w:t>
      </w:r>
      <w:proofErr w:type="spellEnd"/>
      <w:r w:rsidR="00DF5185">
        <w:t xml:space="preserve"> with these</w:t>
      </w:r>
      <w:r w:rsidR="00506085">
        <w:t xml:space="preserve"> sp</w:t>
      </w:r>
      <w:r w:rsidR="001E34EB">
        <w:t>eakers and that a conceptual change has</w:t>
      </w:r>
      <w:r w:rsidR="001064C7">
        <w:t xml:space="preserve"> indeed</w:t>
      </w:r>
      <w:r w:rsidR="001E34EB">
        <w:t xml:space="preserve"> occurred in this case.</w:t>
      </w:r>
      <w:r w:rsidR="00C37AE0">
        <w:t xml:space="preserve"> </w:t>
      </w:r>
      <w:r w:rsidR="001D01A9">
        <w:t xml:space="preserve">To draw out </w:t>
      </w:r>
      <w:r w:rsidR="003D7E7F">
        <w:t xml:space="preserve">the nature of </w:t>
      </w:r>
      <w:r w:rsidR="001D01A9">
        <w:t xml:space="preserve">this perspective, I will begin by tracing a line of thought in </w:t>
      </w:r>
      <w:r w:rsidR="001064C7">
        <w:t>Thomas Kuhn’s later</w:t>
      </w:r>
      <w:r w:rsidR="001064C7">
        <w:rPr>
          <w:i/>
        </w:rPr>
        <w:t xml:space="preserve"> </w:t>
      </w:r>
      <w:r w:rsidR="001064C7">
        <w:t>essays</w:t>
      </w:r>
      <w:r w:rsidR="001D01A9">
        <w:t>.</w:t>
      </w:r>
    </w:p>
    <w:p w14:paraId="0D21DEE4" w14:textId="77777777" w:rsidR="00F32F8E" w:rsidRDefault="006B1892" w:rsidP="00DF5185">
      <w:pPr>
        <w:ind w:firstLine="720"/>
        <w:rPr>
          <w:szCs w:val="24"/>
        </w:rPr>
      </w:pPr>
      <w:r>
        <w:rPr>
          <w:szCs w:val="24"/>
        </w:rPr>
        <w:t>In</w:t>
      </w:r>
      <w:r w:rsidR="002464BB">
        <w:rPr>
          <w:szCs w:val="24"/>
        </w:rPr>
        <w:t xml:space="preserve"> his post-</w:t>
      </w:r>
      <w:r w:rsidR="002464BB">
        <w:rPr>
          <w:i/>
          <w:szCs w:val="24"/>
        </w:rPr>
        <w:t>Structure</w:t>
      </w:r>
      <w:r w:rsidR="002464BB">
        <w:rPr>
          <w:szCs w:val="24"/>
        </w:rPr>
        <w:t xml:space="preserve"> essay</w:t>
      </w:r>
      <w:r>
        <w:rPr>
          <w:szCs w:val="24"/>
        </w:rPr>
        <w:t xml:space="preserve"> “What Are Scientific Revolutions?”, </w:t>
      </w:r>
      <w:r w:rsidR="00CA007D">
        <w:rPr>
          <w:szCs w:val="24"/>
        </w:rPr>
        <w:t xml:space="preserve">Kuhn </w:t>
      </w:r>
      <w:r>
        <w:rPr>
          <w:szCs w:val="24"/>
        </w:rPr>
        <w:t xml:space="preserve">describes </w:t>
      </w:r>
      <w:r w:rsidRPr="003E1741">
        <w:rPr>
          <w:szCs w:val="24"/>
        </w:rPr>
        <w:t>trying</w:t>
      </w:r>
      <w:r>
        <w:rPr>
          <w:szCs w:val="24"/>
        </w:rPr>
        <w:t xml:space="preserve"> early in his academic career</w:t>
      </w:r>
      <w:r w:rsidRPr="003E1741">
        <w:rPr>
          <w:szCs w:val="24"/>
        </w:rPr>
        <w:t xml:space="preserve"> to make sense of Aristotle’s a</w:t>
      </w:r>
      <w:r>
        <w:rPr>
          <w:szCs w:val="24"/>
        </w:rPr>
        <w:t xml:space="preserve">ccount of motion and finding Aristotle’s </w:t>
      </w:r>
      <w:r w:rsidRPr="003E1741">
        <w:rPr>
          <w:szCs w:val="24"/>
        </w:rPr>
        <w:t xml:space="preserve">texts riddled with “egregious </w:t>
      </w:r>
      <w:r>
        <w:rPr>
          <w:szCs w:val="24"/>
        </w:rPr>
        <w:t>errors, both of logic and observation</w:t>
      </w:r>
      <w:r w:rsidRPr="003E1741">
        <w:rPr>
          <w:szCs w:val="24"/>
        </w:rPr>
        <w:t>” that seemed to be the speculations of a “dreadfully bad physical scientist”</w:t>
      </w:r>
      <w:r w:rsidR="00DF5185">
        <w:rPr>
          <w:szCs w:val="24"/>
        </w:rPr>
        <w:t xml:space="preserve"> </w:t>
      </w:r>
      <w:r>
        <w:rPr>
          <w:szCs w:val="24"/>
        </w:rPr>
        <w:t xml:space="preserve">(2002, 16). </w:t>
      </w:r>
      <w:r w:rsidR="00DF5185">
        <w:rPr>
          <w:szCs w:val="24"/>
        </w:rPr>
        <w:t xml:space="preserve">Kuhn felt that this could not be the case given Aristotle’s foundational contributions to other areas of inquiry. </w:t>
      </w:r>
      <w:r w:rsidR="00AB1415">
        <w:rPr>
          <w:szCs w:val="24"/>
        </w:rPr>
        <w:t>After</w:t>
      </w:r>
      <w:r w:rsidRPr="003E1741">
        <w:rPr>
          <w:szCs w:val="24"/>
        </w:rPr>
        <w:t xml:space="preserve"> “wrestling with [these] nonsense </w:t>
      </w:r>
      <w:r>
        <w:rPr>
          <w:szCs w:val="24"/>
        </w:rPr>
        <w:t>passages</w:t>
      </w:r>
      <w:r w:rsidRPr="003E1741">
        <w:rPr>
          <w:szCs w:val="24"/>
        </w:rPr>
        <w:t>”</w:t>
      </w:r>
      <w:r w:rsidR="00AB1415">
        <w:rPr>
          <w:szCs w:val="24"/>
        </w:rPr>
        <w:t>, Kuhn</w:t>
      </w:r>
      <w:r>
        <w:rPr>
          <w:szCs w:val="24"/>
        </w:rPr>
        <w:t xml:space="preserve"> comes to a realization: “[T]he fragments in my head sorted themselves out in a new way, and fell into place together. My jaw dropped, for all at once Aristotle seemed a very good physicist indeed, but of a sort I’d never dreamed possible” (</w:t>
      </w:r>
      <w:r w:rsidR="002464BB">
        <w:rPr>
          <w:szCs w:val="24"/>
        </w:rPr>
        <w:t>16</w:t>
      </w:r>
      <w:r>
        <w:rPr>
          <w:szCs w:val="24"/>
        </w:rPr>
        <w:t>).</w:t>
      </w:r>
      <w:r w:rsidRPr="003E1741">
        <w:rPr>
          <w:szCs w:val="24"/>
        </w:rPr>
        <w:t xml:space="preserve"> </w:t>
      </w:r>
      <w:r>
        <w:rPr>
          <w:szCs w:val="24"/>
        </w:rPr>
        <w:t xml:space="preserve">This experience of a </w:t>
      </w:r>
      <w:r>
        <w:rPr>
          <w:szCs w:val="24"/>
        </w:rPr>
        <w:lastRenderedPageBreak/>
        <w:t>seemingly nonsensical text becoming intelligible follows from the realization that the author’s “words had not always meant to him and his contemporaries quite what they meant to me and mine” (</w:t>
      </w:r>
      <w:r w:rsidR="002464BB">
        <w:rPr>
          <w:szCs w:val="24"/>
        </w:rPr>
        <w:t>16).</w:t>
      </w:r>
      <w:r w:rsidR="002014E1">
        <w:rPr>
          <w:szCs w:val="24"/>
        </w:rPr>
        <w:t xml:space="preserve"> </w:t>
      </w:r>
      <w:r w:rsidR="00D771B7">
        <w:rPr>
          <w:szCs w:val="24"/>
        </w:rPr>
        <w:t xml:space="preserve">To take the example </w:t>
      </w:r>
      <w:r w:rsidR="00A925DA">
        <w:rPr>
          <w:szCs w:val="24"/>
        </w:rPr>
        <w:t>in</w:t>
      </w:r>
      <w:r w:rsidR="00D771B7">
        <w:rPr>
          <w:szCs w:val="24"/>
        </w:rPr>
        <w:t xml:space="preserve"> Aristotle</w:t>
      </w:r>
      <w:r w:rsidR="00A925DA">
        <w:rPr>
          <w:szCs w:val="24"/>
        </w:rPr>
        <w:t>’s work</w:t>
      </w:r>
      <w:r w:rsidR="00D771B7">
        <w:rPr>
          <w:szCs w:val="24"/>
        </w:rPr>
        <w:t xml:space="preserve"> </w:t>
      </w:r>
      <w:r w:rsidR="00506085">
        <w:rPr>
          <w:szCs w:val="24"/>
        </w:rPr>
        <w:t>that was a catalyst for Kuhn’</w:t>
      </w:r>
      <w:r w:rsidR="00010A4C">
        <w:rPr>
          <w:szCs w:val="24"/>
        </w:rPr>
        <w:t xml:space="preserve">s </w:t>
      </w:r>
      <w:r w:rsidR="00DF5185">
        <w:rPr>
          <w:szCs w:val="24"/>
        </w:rPr>
        <w:t>insight</w:t>
      </w:r>
      <w:r>
        <w:rPr>
          <w:szCs w:val="24"/>
        </w:rPr>
        <w:t>, “[w]hen the term ‘motion’ occurs in Aristotelian physics, it refers to a change in general, not just to the change of position of a physical body. Change of position, the exclusive subject of mechanics for Galileo and Newton, is one of a number of subcategories of motion for Aristotle” (</w:t>
      </w:r>
      <w:r w:rsidR="002014E1">
        <w:rPr>
          <w:szCs w:val="24"/>
        </w:rPr>
        <w:t>17).</w:t>
      </w:r>
      <w:r w:rsidR="00506085">
        <w:rPr>
          <w:szCs w:val="24"/>
        </w:rPr>
        <w:t xml:space="preserve"> </w:t>
      </w:r>
      <w:r>
        <w:rPr>
          <w:szCs w:val="24"/>
        </w:rPr>
        <w:t>We can understand why Aristotle views motion-as-change, Kuhn explains, when we keep in mind the importance of qualities to his physics: “[I]t is precisely seeing motion as change-of-quality that permits its assimilation to all other sorts of change – acorn to oak or sickness to health” (18). According to Kuhn’s reading, it would not make sense within Aristotle’s physics to construe motion as change of position because Aristotle’s is a qualitative physics where “matter is very nearly dispensable”; what individuates objects within this physics is rather different concentrations of qualitie</w:t>
      </w:r>
      <w:r w:rsidR="00DD101D">
        <w:rPr>
          <w:szCs w:val="24"/>
        </w:rPr>
        <w:t>s such as heat and color (</w:t>
      </w:r>
      <w:r>
        <w:rPr>
          <w:szCs w:val="24"/>
        </w:rPr>
        <w:t xml:space="preserve">29). Change therefore “occurs by changing qualities, not matter” (18). Once we appreciate this qualitative dimension of Aristotle’s physics, we can then understand why he </w:t>
      </w:r>
      <w:r w:rsidR="00506085">
        <w:rPr>
          <w:szCs w:val="24"/>
        </w:rPr>
        <w:t xml:space="preserve">takes </w:t>
      </w:r>
      <w:r>
        <w:rPr>
          <w:szCs w:val="24"/>
        </w:rPr>
        <w:t>examples such as the changes from “acorn to oak or sickness to health” to be paradigmatic of motion, whereas, for Newton and for us, these are not examples of motion at all. Kuhn draws the following conclusion from these observations: “[A]s one recognizes these and other aspects of Aristotle’s viewpoint, they begin to fit together, to lend each other mutual support, and thus to make a sort of sense collectively that they individually lack” (18).</w:t>
      </w:r>
    </w:p>
    <w:p w14:paraId="67707803" w14:textId="77777777" w:rsidR="006B1892" w:rsidRDefault="003D7E7F" w:rsidP="00F32F8E">
      <w:pPr>
        <w:ind w:firstLine="720"/>
        <w:rPr>
          <w:szCs w:val="24"/>
        </w:rPr>
      </w:pPr>
      <w:r>
        <w:rPr>
          <w:szCs w:val="24"/>
        </w:rPr>
        <w:t xml:space="preserve">Now </w:t>
      </w:r>
      <w:r w:rsidR="00934F10">
        <w:rPr>
          <w:szCs w:val="24"/>
        </w:rPr>
        <w:t>I am</w:t>
      </w:r>
      <w:r w:rsidR="00D347A6">
        <w:rPr>
          <w:szCs w:val="24"/>
        </w:rPr>
        <w:t xml:space="preserve"> not interested</w:t>
      </w:r>
      <w:r w:rsidR="00934F10">
        <w:rPr>
          <w:szCs w:val="24"/>
        </w:rPr>
        <w:t xml:space="preserve"> here </w:t>
      </w:r>
      <w:r w:rsidR="00D347A6">
        <w:rPr>
          <w:szCs w:val="24"/>
        </w:rPr>
        <w:t>in</w:t>
      </w:r>
      <w:r w:rsidR="00934F10">
        <w:rPr>
          <w:szCs w:val="24"/>
        </w:rPr>
        <w:t xml:space="preserve"> whether Kuhn</w:t>
      </w:r>
      <w:r w:rsidR="00DF5185">
        <w:rPr>
          <w:szCs w:val="24"/>
        </w:rPr>
        <w:t>’s interpretation of</w:t>
      </w:r>
      <w:r w:rsidR="00934F10">
        <w:rPr>
          <w:szCs w:val="24"/>
        </w:rPr>
        <w:t xml:space="preserve"> </w:t>
      </w:r>
      <w:r w:rsidR="00DF5185">
        <w:rPr>
          <w:szCs w:val="24"/>
        </w:rPr>
        <w:t xml:space="preserve">Aristotle is </w:t>
      </w:r>
      <w:r w:rsidR="00D347A6">
        <w:rPr>
          <w:szCs w:val="24"/>
        </w:rPr>
        <w:t>right</w:t>
      </w:r>
      <w:r w:rsidR="00B75549">
        <w:rPr>
          <w:szCs w:val="24"/>
        </w:rPr>
        <w:t>, but</w:t>
      </w:r>
      <w:r w:rsidR="00DF5185">
        <w:rPr>
          <w:szCs w:val="24"/>
        </w:rPr>
        <w:t xml:space="preserve"> in</w:t>
      </w:r>
      <w:r w:rsidR="00B75549">
        <w:rPr>
          <w:szCs w:val="24"/>
        </w:rPr>
        <w:t xml:space="preserve"> his claim</w:t>
      </w:r>
      <w:r w:rsidR="00934F10">
        <w:rPr>
          <w:szCs w:val="24"/>
        </w:rPr>
        <w:t xml:space="preserve"> that</w:t>
      </w:r>
      <w:r w:rsidR="00235946">
        <w:rPr>
          <w:szCs w:val="24"/>
        </w:rPr>
        <w:t xml:space="preserve"> we can render </w:t>
      </w:r>
      <w:r w:rsidR="008A1B27">
        <w:rPr>
          <w:szCs w:val="24"/>
        </w:rPr>
        <w:t xml:space="preserve">otherwise confounding </w:t>
      </w:r>
      <w:r w:rsidR="00DF5185">
        <w:rPr>
          <w:szCs w:val="24"/>
        </w:rPr>
        <w:t xml:space="preserve">linguistic behavior – </w:t>
      </w:r>
      <w:r w:rsidR="00CC536F">
        <w:rPr>
          <w:szCs w:val="24"/>
        </w:rPr>
        <w:t xml:space="preserve">e.g., </w:t>
      </w:r>
      <w:r w:rsidR="00DF5185">
        <w:rPr>
          <w:szCs w:val="24"/>
        </w:rPr>
        <w:t xml:space="preserve">Aristotle’s use of the concept of motion – intelligible when we consider how the speaker’s </w:t>
      </w:r>
      <w:r w:rsidR="00235946">
        <w:rPr>
          <w:szCs w:val="24"/>
        </w:rPr>
        <w:t xml:space="preserve">use of this concept </w:t>
      </w:r>
      <w:r w:rsidR="008A1B27">
        <w:rPr>
          <w:szCs w:val="24"/>
        </w:rPr>
        <w:t>interacts with</w:t>
      </w:r>
      <w:r w:rsidR="00235946">
        <w:rPr>
          <w:szCs w:val="24"/>
        </w:rPr>
        <w:t xml:space="preserve"> </w:t>
      </w:r>
      <w:r w:rsidR="00D347A6">
        <w:rPr>
          <w:szCs w:val="24"/>
        </w:rPr>
        <w:t>their</w:t>
      </w:r>
      <w:r w:rsidR="00235946">
        <w:rPr>
          <w:szCs w:val="24"/>
        </w:rPr>
        <w:t xml:space="preserve"> other commitments.</w:t>
      </w:r>
      <w:r w:rsidR="00F32F8E">
        <w:rPr>
          <w:szCs w:val="24"/>
        </w:rPr>
        <w:t xml:space="preserve"> </w:t>
      </w:r>
      <w:r w:rsidR="006B1892">
        <w:rPr>
          <w:szCs w:val="24"/>
        </w:rPr>
        <w:t>It is important to emphasize here that Kuhn’s observations do not just point to routine considerations in favor of semantic holism – where the meanings of terms</w:t>
      </w:r>
      <w:r w:rsidR="00235946">
        <w:rPr>
          <w:szCs w:val="24"/>
        </w:rPr>
        <w:t xml:space="preserve"> or content of concepts</w:t>
      </w:r>
      <w:r w:rsidR="006B1892">
        <w:rPr>
          <w:szCs w:val="24"/>
        </w:rPr>
        <w:t xml:space="preserve"> are importantly interanimating. Kuhn’s further point here and in the other cases of conceptual change he analyzes is that in such cases, one has to </w:t>
      </w:r>
      <w:r w:rsidR="00235946" w:rsidRPr="00B75549">
        <w:rPr>
          <w:i/>
          <w:szCs w:val="24"/>
        </w:rPr>
        <w:t>change</w:t>
      </w:r>
      <w:r w:rsidR="00235946">
        <w:rPr>
          <w:szCs w:val="24"/>
        </w:rPr>
        <w:t xml:space="preserve"> </w:t>
      </w:r>
      <w:r w:rsidR="006B1892">
        <w:rPr>
          <w:szCs w:val="24"/>
        </w:rPr>
        <w:t xml:space="preserve">the </w:t>
      </w:r>
      <w:r w:rsidR="00122240">
        <w:rPr>
          <w:szCs w:val="24"/>
        </w:rPr>
        <w:t>concepts</w:t>
      </w:r>
      <w:r w:rsidR="006B1892">
        <w:rPr>
          <w:szCs w:val="24"/>
        </w:rPr>
        <w:t xml:space="preserve"> one is utilizin</w:t>
      </w:r>
      <w:r w:rsidR="00527362">
        <w:rPr>
          <w:szCs w:val="24"/>
        </w:rPr>
        <w:t xml:space="preserve">g in order to make sense of </w:t>
      </w:r>
      <w:r w:rsidR="006B1892">
        <w:rPr>
          <w:szCs w:val="24"/>
        </w:rPr>
        <w:t xml:space="preserve">the text: there is simply no way of making sense of the relevant concepts by attempting to translate them into one’s current </w:t>
      </w:r>
      <w:r w:rsidR="00881945">
        <w:rPr>
          <w:szCs w:val="24"/>
        </w:rPr>
        <w:t>stock of concepts</w:t>
      </w:r>
      <w:r w:rsidR="006B1892">
        <w:rPr>
          <w:szCs w:val="24"/>
        </w:rPr>
        <w:t>. What leads us astray in these cases is the superficial homophonic similarities between our language and the language of the text. We fail to understand that the underlying concepts of the two texts are not the same, even though they may be expressed by the same word strings.</w:t>
      </w:r>
    </w:p>
    <w:p w14:paraId="60B90B37" w14:textId="77777777" w:rsidR="006B1892" w:rsidRDefault="006B1892" w:rsidP="006B1892">
      <w:pPr>
        <w:ind w:firstLine="720"/>
        <w:rPr>
          <w:szCs w:val="24"/>
        </w:rPr>
      </w:pPr>
      <w:r>
        <w:rPr>
          <w:szCs w:val="24"/>
        </w:rPr>
        <w:t>The evidence for a conceptual change on the later Kuhn’s view is</w:t>
      </w:r>
      <w:r w:rsidR="00881945">
        <w:rPr>
          <w:szCs w:val="24"/>
        </w:rPr>
        <w:t xml:space="preserve"> therefore</w:t>
      </w:r>
      <w:r>
        <w:rPr>
          <w:szCs w:val="24"/>
        </w:rPr>
        <w:t xml:space="preserve"> this failure of translation</w:t>
      </w:r>
      <w:r w:rsidR="001E0A55">
        <w:rPr>
          <w:szCs w:val="24"/>
        </w:rPr>
        <w:t>. I</w:t>
      </w:r>
      <w:r>
        <w:rPr>
          <w:szCs w:val="24"/>
        </w:rPr>
        <w:t xml:space="preserve">f we try to replace the word strings of earlier speakers with our own understanding of that term, we will often find that the target community’s linguistic behavior becomes </w:t>
      </w:r>
      <w:r w:rsidR="00EE0D6F">
        <w:rPr>
          <w:szCs w:val="24"/>
        </w:rPr>
        <w:t>utterly confounding</w:t>
      </w:r>
      <w:r>
        <w:rPr>
          <w:szCs w:val="24"/>
        </w:rPr>
        <w:t xml:space="preserve"> to us</w:t>
      </w:r>
      <w:r w:rsidR="00E82907">
        <w:rPr>
          <w:szCs w:val="24"/>
        </w:rPr>
        <w:t xml:space="preserve">. </w:t>
      </w:r>
      <w:r w:rsidR="00D347A6">
        <w:rPr>
          <w:szCs w:val="24"/>
        </w:rPr>
        <w:t>Aristotle’s text</w:t>
      </w:r>
      <w:r w:rsidR="00A925DA">
        <w:rPr>
          <w:szCs w:val="24"/>
        </w:rPr>
        <w:t>, for example,</w:t>
      </w:r>
      <w:r w:rsidR="00D347A6">
        <w:rPr>
          <w:szCs w:val="24"/>
        </w:rPr>
        <w:t xml:space="preserve"> becomes </w:t>
      </w:r>
      <w:r w:rsidR="00EE0D6F">
        <w:rPr>
          <w:szCs w:val="24"/>
        </w:rPr>
        <w:t>mystifying</w:t>
      </w:r>
      <w:r w:rsidR="00D347A6">
        <w:rPr>
          <w:szCs w:val="24"/>
        </w:rPr>
        <w:t xml:space="preserve"> when we substitute our understanding of </w:t>
      </w:r>
      <w:r w:rsidR="001E0A55">
        <w:rPr>
          <w:szCs w:val="24"/>
        </w:rPr>
        <w:t>‘</w:t>
      </w:r>
      <w:r w:rsidR="00D347A6">
        <w:rPr>
          <w:szCs w:val="24"/>
        </w:rPr>
        <w:t>motion</w:t>
      </w:r>
      <w:r w:rsidR="001E0A55">
        <w:rPr>
          <w:szCs w:val="24"/>
        </w:rPr>
        <w:t>’</w:t>
      </w:r>
      <w:r w:rsidR="00D347A6">
        <w:rPr>
          <w:szCs w:val="24"/>
        </w:rPr>
        <w:t xml:space="preserve"> for instances of this term in Aristotle’s text</w:t>
      </w:r>
      <w:r>
        <w:rPr>
          <w:szCs w:val="24"/>
        </w:rPr>
        <w:t xml:space="preserve">. It is this failure that signals a conceptual change – that our concept has changed from the concept utilized by the target community. If the concepts being expressed by the target community were the same as ours, we would have no trouble making sense of their linguistic behavior. </w:t>
      </w:r>
    </w:p>
    <w:p w14:paraId="35F02E0C" w14:textId="77777777" w:rsidR="006B1892" w:rsidRDefault="006B1892" w:rsidP="006B1892">
      <w:pPr>
        <w:ind w:firstLine="720"/>
        <w:rPr>
          <w:szCs w:val="24"/>
        </w:rPr>
      </w:pPr>
      <w:r>
        <w:rPr>
          <w:szCs w:val="24"/>
        </w:rPr>
        <w:t xml:space="preserve">Kuhn helpfully makes this point by distinguishing between the “translation” and “acquisition” of </w:t>
      </w:r>
      <w:r w:rsidR="00881945">
        <w:rPr>
          <w:szCs w:val="24"/>
        </w:rPr>
        <w:t>concepts</w:t>
      </w:r>
      <w:r>
        <w:rPr>
          <w:szCs w:val="24"/>
        </w:rPr>
        <w:t xml:space="preserve">. When we attempt to make sense of the linguistic behavior of historical communities, we often forget that we are </w:t>
      </w:r>
      <w:r w:rsidRPr="006A2BDD">
        <w:rPr>
          <w:i/>
          <w:szCs w:val="24"/>
        </w:rPr>
        <w:t>learning</w:t>
      </w:r>
      <w:r>
        <w:rPr>
          <w:szCs w:val="24"/>
        </w:rPr>
        <w:t xml:space="preserve"> or </w:t>
      </w:r>
      <w:r w:rsidRPr="006A2BDD">
        <w:rPr>
          <w:i/>
          <w:szCs w:val="24"/>
        </w:rPr>
        <w:t>acquiring</w:t>
      </w:r>
      <w:r>
        <w:rPr>
          <w:szCs w:val="24"/>
        </w:rPr>
        <w:t xml:space="preserve"> a set of concepts, rather than simply assimilating or translating them back into our home language:</w:t>
      </w:r>
    </w:p>
    <w:p w14:paraId="5A235FDE" w14:textId="77777777" w:rsidR="006B1892" w:rsidRDefault="006B1892" w:rsidP="006B1892">
      <w:pPr>
        <w:rPr>
          <w:szCs w:val="24"/>
        </w:rPr>
      </w:pPr>
    </w:p>
    <w:p w14:paraId="1A21BBDD" w14:textId="77777777" w:rsidR="006B1892" w:rsidRDefault="006B1892" w:rsidP="006B1892">
      <w:pPr>
        <w:ind w:left="720"/>
        <w:rPr>
          <w:sz w:val="22"/>
        </w:rPr>
      </w:pPr>
      <w:r w:rsidRPr="005A00BE">
        <w:rPr>
          <w:sz w:val="22"/>
        </w:rPr>
        <w:lastRenderedPageBreak/>
        <w:t>Members of one community can acquire the taxonomy employed by members of another, as the historian does in learning to understand old texts. But the process which permits understanding produces bilinguals, not translators, and bilingualism has a cost…The bilingual must always remember within which community discourse is oc</w:t>
      </w:r>
      <w:r>
        <w:rPr>
          <w:sz w:val="22"/>
        </w:rPr>
        <w:t xml:space="preserve">curring </w:t>
      </w:r>
      <w:r w:rsidRPr="005A00BE">
        <w:rPr>
          <w:sz w:val="22"/>
        </w:rPr>
        <w:t xml:space="preserve">(2002, 93). </w:t>
      </w:r>
    </w:p>
    <w:p w14:paraId="1B30DC90" w14:textId="77777777" w:rsidR="006B1892" w:rsidRPr="005A00BE" w:rsidRDefault="006B1892" w:rsidP="006B1892">
      <w:pPr>
        <w:ind w:left="720"/>
        <w:rPr>
          <w:sz w:val="22"/>
        </w:rPr>
      </w:pPr>
    </w:p>
    <w:p w14:paraId="3C8A3A88" w14:textId="77777777" w:rsidR="00CA35A8" w:rsidRDefault="006B1892" w:rsidP="0088110D">
      <w:pPr>
        <w:rPr>
          <w:szCs w:val="24"/>
        </w:rPr>
      </w:pPr>
      <w:r>
        <w:rPr>
          <w:szCs w:val="24"/>
        </w:rPr>
        <w:t xml:space="preserve">Kuhn’s point is therefore not – as it is often taken to be – that we are somehow barred from understanding previous scientific paradigms or lexicons; his claim is that we </w:t>
      </w:r>
      <w:r w:rsidRPr="005A00BE">
        <w:rPr>
          <w:i/>
          <w:szCs w:val="24"/>
        </w:rPr>
        <w:t>can</w:t>
      </w:r>
      <w:r>
        <w:rPr>
          <w:szCs w:val="24"/>
        </w:rPr>
        <w:t xml:space="preserve"> understand them, but that in doing so, we </w:t>
      </w:r>
      <w:r w:rsidR="008B36C7">
        <w:rPr>
          <w:szCs w:val="24"/>
        </w:rPr>
        <w:t>must</w:t>
      </w:r>
      <w:r>
        <w:rPr>
          <w:szCs w:val="24"/>
        </w:rPr>
        <w:t xml:space="preserve"> recognize </w:t>
      </w:r>
      <w:r w:rsidR="008B36C7">
        <w:rPr>
          <w:szCs w:val="24"/>
        </w:rPr>
        <w:t xml:space="preserve">and remember </w:t>
      </w:r>
      <w:r>
        <w:rPr>
          <w:szCs w:val="24"/>
        </w:rPr>
        <w:t>that we have gone bilingual. This process of acquiring the novel concepts of a linguistic community, however, tends to quickly fade from view</w:t>
      </w:r>
      <w:r w:rsidR="00F06CA1">
        <w:rPr>
          <w:szCs w:val="24"/>
        </w:rPr>
        <w:t>. O</w:t>
      </w:r>
      <w:r>
        <w:rPr>
          <w:szCs w:val="24"/>
        </w:rPr>
        <w:t xml:space="preserve">nce we possess the </w:t>
      </w:r>
      <w:r w:rsidR="00235946">
        <w:rPr>
          <w:szCs w:val="24"/>
        </w:rPr>
        <w:t>concepts</w:t>
      </w:r>
      <w:r>
        <w:rPr>
          <w:szCs w:val="24"/>
        </w:rPr>
        <w:t xml:space="preserve"> of the target co</w:t>
      </w:r>
      <w:r w:rsidR="00235946">
        <w:rPr>
          <w:szCs w:val="24"/>
        </w:rPr>
        <w:t>mmunity, we tend to assume the</w:t>
      </w:r>
      <w:r>
        <w:rPr>
          <w:szCs w:val="24"/>
        </w:rPr>
        <w:t xml:space="preserve"> concepts were fully intelligible to us all along, that there was no process of learning or acquiring their language, i.e., no point at which their language show</w:t>
      </w:r>
      <w:r w:rsidR="00235946">
        <w:rPr>
          <w:szCs w:val="24"/>
        </w:rPr>
        <w:t>ed up to as nonsensical and</w:t>
      </w:r>
      <w:r>
        <w:rPr>
          <w:szCs w:val="24"/>
        </w:rPr>
        <w:t xml:space="preserve"> work had to be done to render it intelligible. We therefore forget that we are switching </w:t>
      </w:r>
      <w:r w:rsidR="00235946">
        <w:rPr>
          <w:szCs w:val="24"/>
        </w:rPr>
        <w:t>between concepts</w:t>
      </w:r>
      <w:r>
        <w:rPr>
          <w:szCs w:val="24"/>
        </w:rPr>
        <w:t xml:space="preserve"> – that we are going bilingual – in many cases where we are referr</w:t>
      </w:r>
      <w:r w:rsidR="00235946">
        <w:rPr>
          <w:szCs w:val="24"/>
        </w:rPr>
        <w:t>ing to or utilizing the</w:t>
      </w:r>
      <w:r>
        <w:rPr>
          <w:szCs w:val="24"/>
        </w:rPr>
        <w:t xml:space="preserve"> concepts of the target community.</w:t>
      </w:r>
      <w:r w:rsidR="00881945">
        <w:rPr>
          <w:szCs w:val="24"/>
        </w:rPr>
        <w:t xml:space="preserve"> Previous speakers </w:t>
      </w:r>
      <w:r w:rsidR="008B36C7">
        <w:rPr>
          <w:szCs w:val="24"/>
        </w:rPr>
        <w:t xml:space="preserve">quickly </w:t>
      </w:r>
      <w:r w:rsidR="00881945">
        <w:rPr>
          <w:szCs w:val="24"/>
        </w:rPr>
        <w:t xml:space="preserve">show up to us as forming a single, seamless linguistic community </w:t>
      </w:r>
      <w:r w:rsidR="00912232">
        <w:rPr>
          <w:szCs w:val="24"/>
        </w:rPr>
        <w:t xml:space="preserve">where we are all </w:t>
      </w:r>
      <w:r w:rsidR="00881945">
        <w:rPr>
          <w:szCs w:val="24"/>
        </w:rPr>
        <w:t xml:space="preserve">concerned with the same concept or subject matter, our understanding of which </w:t>
      </w:r>
      <w:r w:rsidR="00912232">
        <w:rPr>
          <w:szCs w:val="24"/>
        </w:rPr>
        <w:t>has</w:t>
      </w:r>
      <w:r w:rsidR="00881945">
        <w:rPr>
          <w:szCs w:val="24"/>
        </w:rPr>
        <w:t xml:space="preserve"> improved over time.</w:t>
      </w:r>
      <w:r w:rsidR="00F17528">
        <w:rPr>
          <w:szCs w:val="24"/>
        </w:rPr>
        <w:t xml:space="preserve"> </w:t>
      </w:r>
      <w:r w:rsidR="007865D6">
        <w:rPr>
          <w:szCs w:val="24"/>
        </w:rPr>
        <w:t>For Kuhn’</w:t>
      </w:r>
      <w:r w:rsidR="00C172E5">
        <w:rPr>
          <w:szCs w:val="24"/>
        </w:rPr>
        <w:t xml:space="preserve">s historian, however, deviations from our own linguistic behavior are </w:t>
      </w:r>
      <w:r w:rsidR="00F17528">
        <w:rPr>
          <w:szCs w:val="24"/>
        </w:rPr>
        <w:t xml:space="preserve">treated more circumspectly. </w:t>
      </w:r>
      <w:r w:rsidR="00426BC2">
        <w:rPr>
          <w:szCs w:val="24"/>
        </w:rPr>
        <w:t xml:space="preserve">They </w:t>
      </w:r>
      <w:r w:rsidR="00F17528">
        <w:rPr>
          <w:szCs w:val="24"/>
        </w:rPr>
        <w:t xml:space="preserve">are </w:t>
      </w:r>
      <w:r w:rsidR="00C172E5">
        <w:rPr>
          <w:szCs w:val="24"/>
        </w:rPr>
        <w:t>treated as data to be explained, rather than</w:t>
      </w:r>
      <w:r w:rsidR="00F17528">
        <w:rPr>
          <w:szCs w:val="24"/>
        </w:rPr>
        <w:t xml:space="preserve"> </w:t>
      </w:r>
      <w:r w:rsidR="00C172E5">
        <w:rPr>
          <w:szCs w:val="24"/>
        </w:rPr>
        <w:t xml:space="preserve">as marks of ignorance </w:t>
      </w:r>
      <w:r w:rsidR="00F17528">
        <w:rPr>
          <w:szCs w:val="24"/>
        </w:rPr>
        <w:t>or</w:t>
      </w:r>
      <w:r w:rsidR="004C25F6">
        <w:rPr>
          <w:szCs w:val="24"/>
        </w:rPr>
        <w:t xml:space="preserve"> s</w:t>
      </w:r>
      <w:r w:rsidR="0088110D">
        <w:rPr>
          <w:szCs w:val="24"/>
        </w:rPr>
        <w:t xml:space="preserve">erious error. </w:t>
      </w:r>
      <w:r w:rsidR="00F17528">
        <w:rPr>
          <w:szCs w:val="24"/>
        </w:rPr>
        <w:t>Kuhn’s historian</w:t>
      </w:r>
      <w:r w:rsidR="00A96BC9">
        <w:rPr>
          <w:szCs w:val="24"/>
        </w:rPr>
        <w:t xml:space="preserve"> takes this approach</w:t>
      </w:r>
      <w:r w:rsidR="00F17528">
        <w:rPr>
          <w:szCs w:val="24"/>
        </w:rPr>
        <w:t xml:space="preserve"> </w:t>
      </w:r>
      <w:r w:rsidR="002015F6">
        <w:rPr>
          <w:szCs w:val="24"/>
        </w:rPr>
        <w:t>because their goal is different from the prospective inquirer.</w:t>
      </w:r>
      <w:r w:rsidR="00F17528">
        <w:rPr>
          <w:szCs w:val="24"/>
        </w:rPr>
        <w:t xml:space="preserve"> </w:t>
      </w:r>
      <w:r w:rsidR="00A06810">
        <w:rPr>
          <w:szCs w:val="24"/>
        </w:rPr>
        <w:t xml:space="preserve">The </w:t>
      </w:r>
      <w:r w:rsidR="00426BC2">
        <w:rPr>
          <w:szCs w:val="24"/>
        </w:rPr>
        <w:t>historian is</w:t>
      </w:r>
      <w:r w:rsidR="00AE5C1D">
        <w:rPr>
          <w:szCs w:val="24"/>
        </w:rPr>
        <w:t xml:space="preserve"> not in</w:t>
      </w:r>
      <w:r w:rsidR="009B51B1">
        <w:rPr>
          <w:szCs w:val="24"/>
        </w:rPr>
        <w:t xml:space="preserve"> the middle of the fray,</w:t>
      </w:r>
      <w:r w:rsidR="00F17528">
        <w:rPr>
          <w:szCs w:val="24"/>
        </w:rPr>
        <w:t xml:space="preserve"> trying to get the </w:t>
      </w:r>
      <w:r w:rsidR="00E50BAC">
        <w:rPr>
          <w:szCs w:val="24"/>
        </w:rPr>
        <w:t>concept/topic in question right;</w:t>
      </w:r>
      <w:r w:rsidR="00F17528">
        <w:rPr>
          <w:szCs w:val="24"/>
        </w:rPr>
        <w:t xml:space="preserve"> they are </w:t>
      </w:r>
      <w:r w:rsidR="00AE5C1D">
        <w:rPr>
          <w:szCs w:val="24"/>
        </w:rPr>
        <w:t>instead</w:t>
      </w:r>
      <w:r w:rsidR="009B51B1">
        <w:rPr>
          <w:szCs w:val="24"/>
        </w:rPr>
        <w:t xml:space="preserve"> more detached,</w:t>
      </w:r>
      <w:r w:rsidR="00AE5C1D">
        <w:rPr>
          <w:szCs w:val="24"/>
        </w:rPr>
        <w:t xml:space="preserve"> </w:t>
      </w:r>
      <w:r w:rsidR="00F17528">
        <w:rPr>
          <w:szCs w:val="24"/>
        </w:rPr>
        <w:t>trying to get the target speakers’</w:t>
      </w:r>
      <w:r w:rsidR="00CA35A8">
        <w:rPr>
          <w:szCs w:val="24"/>
        </w:rPr>
        <w:t xml:space="preserve"> own linguistic behavior right.</w:t>
      </w:r>
      <w:r w:rsidR="00EE24D0">
        <w:rPr>
          <w:rStyle w:val="FootnoteReference"/>
          <w:szCs w:val="24"/>
        </w:rPr>
        <w:footnoteReference w:id="12"/>
      </w:r>
    </w:p>
    <w:p w14:paraId="1DF4526B" w14:textId="77777777" w:rsidR="00426BC2" w:rsidRDefault="00EE24D0" w:rsidP="00BB7907">
      <w:pPr>
        <w:ind w:firstLine="720"/>
        <w:rPr>
          <w:szCs w:val="24"/>
        </w:rPr>
      </w:pPr>
      <w:r>
        <w:rPr>
          <w:szCs w:val="24"/>
        </w:rPr>
        <w:t>At</w:t>
      </w:r>
      <w:r w:rsidR="00F50EFA">
        <w:rPr>
          <w:szCs w:val="24"/>
        </w:rPr>
        <w:t xml:space="preserve"> various points</w:t>
      </w:r>
      <w:r w:rsidR="006B1892">
        <w:rPr>
          <w:szCs w:val="24"/>
        </w:rPr>
        <w:t xml:space="preserve">, Kuhn describes this later view as a form of </w:t>
      </w:r>
      <w:proofErr w:type="spellStart"/>
      <w:r w:rsidR="006B1892">
        <w:rPr>
          <w:szCs w:val="24"/>
        </w:rPr>
        <w:t>internalism</w:t>
      </w:r>
      <w:proofErr w:type="spellEnd"/>
      <w:r w:rsidR="006B1892">
        <w:rPr>
          <w:szCs w:val="24"/>
        </w:rPr>
        <w:t xml:space="preserve"> or “internal realism” (</w:t>
      </w:r>
      <w:r w:rsidR="00A70A75">
        <w:rPr>
          <w:szCs w:val="24"/>
        </w:rPr>
        <w:t>2002</w:t>
      </w:r>
      <w:r w:rsidR="006B1892">
        <w:rPr>
          <w:szCs w:val="24"/>
        </w:rPr>
        <w:t>, 312). He characterizes this view as internalist</w:t>
      </w:r>
      <w:r w:rsidR="00F50EFA">
        <w:rPr>
          <w:szCs w:val="24"/>
        </w:rPr>
        <w:t xml:space="preserve"> </w:t>
      </w:r>
      <w:r w:rsidR="006B1892">
        <w:rPr>
          <w:szCs w:val="24"/>
        </w:rPr>
        <w:t xml:space="preserve">because it says that for </w:t>
      </w:r>
      <w:r w:rsidR="00F50EFA">
        <w:rPr>
          <w:szCs w:val="24"/>
        </w:rPr>
        <w:t xml:space="preserve">a speaker </w:t>
      </w:r>
      <w:r w:rsidR="006B1892">
        <w:rPr>
          <w:szCs w:val="24"/>
        </w:rPr>
        <w:t>to possess a concept, th</w:t>
      </w:r>
      <w:r w:rsidR="00202881">
        <w:rPr>
          <w:szCs w:val="24"/>
        </w:rPr>
        <w:t>is</w:t>
      </w:r>
      <w:r w:rsidR="006B1892">
        <w:rPr>
          <w:szCs w:val="24"/>
        </w:rPr>
        <w:t xml:space="preserve"> </w:t>
      </w:r>
      <w:r w:rsidR="00E20981">
        <w:rPr>
          <w:szCs w:val="24"/>
        </w:rPr>
        <w:t>speaker</w:t>
      </w:r>
      <w:r w:rsidR="00F50EFA">
        <w:rPr>
          <w:szCs w:val="24"/>
        </w:rPr>
        <w:t xml:space="preserve"> </w:t>
      </w:r>
      <w:r w:rsidR="00A70A75">
        <w:rPr>
          <w:szCs w:val="24"/>
        </w:rPr>
        <w:t xml:space="preserve">must </w:t>
      </w:r>
      <w:r w:rsidR="0009480D">
        <w:rPr>
          <w:szCs w:val="24"/>
        </w:rPr>
        <w:t xml:space="preserve">have </w:t>
      </w:r>
      <w:r w:rsidR="00A70A75">
        <w:rPr>
          <w:szCs w:val="24"/>
        </w:rPr>
        <w:t>a</w:t>
      </w:r>
      <w:r w:rsidR="006B1892">
        <w:rPr>
          <w:szCs w:val="24"/>
        </w:rPr>
        <w:t xml:space="preserve"> </w:t>
      </w:r>
      <w:r w:rsidR="00F17528">
        <w:rPr>
          <w:szCs w:val="24"/>
        </w:rPr>
        <w:t>certain</w:t>
      </w:r>
      <w:r w:rsidR="002015F6">
        <w:rPr>
          <w:szCs w:val="24"/>
        </w:rPr>
        <w:t xml:space="preserve"> core,</w:t>
      </w:r>
      <w:r w:rsidR="00F17528">
        <w:rPr>
          <w:szCs w:val="24"/>
        </w:rPr>
        <w:t xml:space="preserve"> </w:t>
      </w:r>
      <w:r w:rsidR="006B1892">
        <w:rPr>
          <w:szCs w:val="24"/>
        </w:rPr>
        <w:t xml:space="preserve">determinate </w:t>
      </w:r>
      <w:r w:rsidR="0009480D">
        <w:rPr>
          <w:szCs w:val="24"/>
        </w:rPr>
        <w:t>understanding</w:t>
      </w:r>
      <w:r w:rsidR="006B1892">
        <w:rPr>
          <w:szCs w:val="24"/>
        </w:rPr>
        <w:t xml:space="preserve"> </w:t>
      </w:r>
      <w:r w:rsidR="0009480D">
        <w:rPr>
          <w:szCs w:val="24"/>
        </w:rPr>
        <w:t>of</w:t>
      </w:r>
      <w:r w:rsidR="006B1892">
        <w:rPr>
          <w:szCs w:val="24"/>
        </w:rPr>
        <w:t xml:space="preserve"> that concept</w:t>
      </w:r>
      <w:r w:rsidR="009B51B1">
        <w:rPr>
          <w:szCs w:val="24"/>
        </w:rPr>
        <w:t xml:space="preserve">. </w:t>
      </w:r>
      <w:r w:rsidR="00F17528">
        <w:rPr>
          <w:szCs w:val="24"/>
        </w:rPr>
        <w:t>Kuhn is right</w:t>
      </w:r>
      <w:r w:rsidR="009B51B1">
        <w:rPr>
          <w:szCs w:val="24"/>
        </w:rPr>
        <w:t>, in my view,</w:t>
      </w:r>
      <w:r w:rsidR="00F17528">
        <w:rPr>
          <w:szCs w:val="24"/>
        </w:rPr>
        <w:t xml:space="preserve"> to insist that </w:t>
      </w:r>
      <w:proofErr w:type="spellStart"/>
      <w:r w:rsidR="00E20981">
        <w:rPr>
          <w:szCs w:val="24"/>
        </w:rPr>
        <w:t>internalism</w:t>
      </w:r>
      <w:proofErr w:type="spellEnd"/>
      <w:r w:rsidR="00E20981">
        <w:rPr>
          <w:szCs w:val="24"/>
        </w:rPr>
        <w:t xml:space="preserve"> is a necessary </w:t>
      </w:r>
      <w:r w:rsidR="002015F6">
        <w:rPr>
          <w:szCs w:val="24"/>
        </w:rPr>
        <w:t xml:space="preserve">feature of the </w:t>
      </w:r>
      <w:r w:rsidR="0057299F">
        <w:rPr>
          <w:szCs w:val="24"/>
        </w:rPr>
        <w:t xml:space="preserve">perspective on linguistic behavior </w:t>
      </w:r>
      <w:r w:rsidR="000647AB">
        <w:rPr>
          <w:szCs w:val="24"/>
        </w:rPr>
        <w:t>his</w:t>
      </w:r>
      <w:r w:rsidR="00F17528">
        <w:rPr>
          <w:szCs w:val="24"/>
        </w:rPr>
        <w:t xml:space="preserve"> historian adopts.</w:t>
      </w:r>
      <w:r w:rsidR="006C3094">
        <w:rPr>
          <w:szCs w:val="24"/>
        </w:rPr>
        <w:t xml:space="preserve"> This is because</w:t>
      </w:r>
      <w:r w:rsidR="0009480D">
        <w:rPr>
          <w:szCs w:val="24"/>
        </w:rPr>
        <w:t xml:space="preserve"> </w:t>
      </w:r>
      <w:r w:rsidR="009B51B1">
        <w:rPr>
          <w:szCs w:val="24"/>
        </w:rPr>
        <w:t xml:space="preserve">such a core, determinate understanding </w:t>
      </w:r>
      <w:r w:rsidR="00426BC2">
        <w:rPr>
          <w:szCs w:val="24"/>
        </w:rPr>
        <w:t xml:space="preserve">of a concept needs to be ascribed to a speaker to render their linguistic behavior maximally intelligible. </w:t>
      </w:r>
      <w:r w:rsidR="001D085A">
        <w:rPr>
          <w:szCs w:val="24"/>
        </w:rPr>
        <w:t>The price to be paid for this intelligibility, however, is the following</w:t>
      </w:r>
      <w:r w:rsidR="00A06810">
        <w:rPr>
          <w:szCs w:val="24"/>
        </w:rPr>
        <w:t xml:space="preserve"> one</w:t>
      </w:r>
      <w:r w:rsidR="001D085A">
        <w:rPr>
          <w:szCs w:val="24"/>
        </w:rPr>
        <w:t>: the</w:t>
      </w:r>
      <w:r w:rsidR="00426BC2">
        <w:rPr>
          <w:szCs w:val="24"/>
        </w:rPr>
        <w:t xml:space="preserve"> more fine-grained th</w:t>
      </w:r>
      <w:r w:rsidR="001D085A">
        <w:rPr>
          <w:szCs w:val="24"/>
        </w:rPr>
        <w:t>e</w:t>
      </w:r>
      <w:r w:rsidR="00426BC2">
        <w:rPr>
          <w:szCs w:val="24"/>
        </w:rPr>
        <w:t xml:space="preserve"> underlying </w:t>
      </w:r>
      <w:r w:rsidR="0016627D">
        <w:rPr>
          <w:szCs w:val="24"/>
        </w:rPr>
        <w:t>understanding of the relevant term or concept we ascribe</w:t>
      </w:r>
      <w:r w:rsidR="001D085A">
        <w:rPr>
          <w:szCs w:val="24"/>
        </w:rPr>
        <w:t xml:space="preserve"> to</w:t>
      </w:r>
      <w:r w:rsidR="0016627D">
        <w:rPr>
          <w:szCs w:val="24"/>
        </w:rPr>
        <w:t xml:space="preserve"> </w:t>
      </w:r>
      <w:r w:rsidR="001D085A">
        <w:rPr>
          <w:szCs w:val="24"/>
        </w:rPr>
        <w:t>a</w:t>
      </w:r>
      <w:r w:rsidR="0016627D">
        <w:rPr>
          <w:szCs w:val="24"/>
        </w:rPr>
        <w:t xml:space="preserve"> speaker</w:t>
      </w:r>
      <w:r w:rsidR="00426BC2">
        <w:rPr>
          <w:szCs w:val="24"/>
        </w:rPr>
        <w:t xml:space="preserve">, the less likely it will be that this understanding is shared </w:t>
      </w:r>
      <w:r w:rsidR="00426BC2" w:rsidRPr="00A06810">
        <w:rPr>
          <w:i/>
          <w:szCs w:val="24"/>
        </w:rPr>
        <w:t>across</w:t>
      </w:r>
      <w:r w:rsidR="00426BC2">
        <w:rPr>
          <w:szCs w:val="24"/>
        </w:rPr>
        <w:t xml:space="preserve"> speakers</w:t>
      </w:r>
      <w:r w:rsidR="001D085A">
        <w:rPr>
          <w:szCs w:val="24"/>
        </w:rPr>
        <w:t xml:space="preserve">, particularly speakers </w:t>
      </w:r>
      <w:r w:rsidR="00BB7907">
        <w:rPr>
          <w:szCs w:val="24"/>
        </w:rPr>
        <w:t xml:space="preserve">who are </w:t>
      </w:r>
      <w:r w:rsidR="001D085A">
        <w:rPr>
          <w:szCs w:val="24"/>
        </w:rPr>
        <w:t>spread out over time</w:t>
      </w:r>
      <w:r w:rsidR="00426BC2">
        <w:rPr>
          <w:szCs w:val="24"/>
        </w:rPr>
        <w:t xml:space="preserve">. </w:t>
      </w:r>
      <w:r w:rsidR="000647AB">
        <w:rPr>
          <w:szCs w:val="24"/>
        </w:rPr>
        <w:t>Conversely, t</w:t>
      </w:r>
      <w:r w:rsidR="00F17528">
        <w:rPr>
          <w:szCs w:val="24"/>
        </w:rPr>
        <w:t xml:space="preserve">he more lax we make the </w:t>
      </w:r>
      <w:r w:rsidR="0057299F">
        <w:rPr>
          <w:szCs w:val="24"/>
        </w:rPr>
        <w:t>restrictions</w:t>
      </w:r>
      <w:r w:rsidR="005B5591">
        <w:rPr>
          <w:szCs w:val="24"/>
        </w:rPr>
        <w:t xml:space="preserve"> on </w:t>
      </w:r>
      <w:r w:rsidR="0016627D">
        <w:rPr>
          <w:szCs w:val="24"/>
        </w:rPr>
        <w:t>a speaker’s understanding of</w:t>
      </w:r>
      <w:r w:rsidR="005B5591">
        <w:rPr>
          <w:szCs w:val="24"/>
        </w:rPr>
        <w:t xml:space="preserve"> a </w:t>
      </w:r>
      <w:r w:rsidR="00426BC2">
        <w:rPr>
          <w:szCs w:val="24"/>
        </w:rPr>
        <w:t xml:space="preserve">term or </w:t>
      </w:r>
      <w:r w:rsidR="005B5591">
        <w:rPr>
          <w:szCs w:val="24"/>
        </w:rPr>
        <w:lastRenderedPageBreak/>
        <w:t>c</w:t>
      </w:r>
      <w:r w:rsidR="002015F6">
        <w:rPr>
          <w:szCs w:val="24"/>
        </w:rPr>
        <w:t>oncept</w:t>
      </w:r>
      <w:r w:rsidR="005B5591">
        <w:rPr>
          <w:szCs w:val="24"/>
        </w:rPr>
        <w:t xml:space="preserve">, the more inexplicable their linguistic behavior </w:t>
      </w:r>
      <w:r w:rsidR="00426BC2">
        <w:rPr>
          <w:szCs w:val="24"/>
        </w:rPr>
        <w:t>inevitably</w:t>
      </w:r>
      <w:r w:rsidR="00BB7907">
        <w:rPr>
          <w:szCs w:val="24"/>
        </w:rPr>
        <w:t xml:space="preserve"> </w:t>
      </w:r>
      <w:r w:rsidR="006C3094">
        <w:rPr>
          <w:szCs w:val="24"/>
        </w:rPr>
        <w:t>become</w:t>
      </w:r>
      <w:r w:rsidR="00A06810">
        <w:rPr>
          <w:szCs w:val="24"/>
        </w:rPr>
        <w:t>s to us</w:t>
      </w:r>
      <w:r w:rsidR="006C3094">
        <w:rPr>
          <w:szCs w:val="24"/>
        </w:rPr>
        <w:t xml:space="preserve"> – the more it will seem that they are making baffling errors</w:t>
      </w:r>
      <w:r w:rsidR="00426BC2">
        <w:rPr>
          <w:szCs w:val="24"/>
        </w:rPr>
        <w:t xml:space="preserve"> in their use of this</w:t>
      </w:r>
      <w:r w:rsidR="003C6450">
        <w:rPr>
          <w:szCs w:val="24"/>
        </w:rPr>
        <w:t xml:space="preserve"> term or</w:t>
      </w:r>
      <w:r w:rsidR="00426BC2">
        <w:rPr>
          <w:szCs w:val="24"/>
        </w:rPr>
        <w:t xml:space="preserve"> concept</w:t>
      </w:r>
      <w:r w:rsidR="0091642B">
        <w:rPr>
          <w:szCs w:val="24"/>
        </w:rPr>
        <w:t xml:space="preserve"> (which we assume to be </w:t>
      </w:r>
      <w:r w:rsidR="00BB7907">
        <w:rPr>
          <w:szCs w:val="24"/>
        </w:rPr>
        <w:t>the same as our own</w:t>
      </w:r>
      <w:r w:rsidR="0091642B">
        <w:rPr>
          <w:szCs w:val="24"/>
        </w:rPr>
        <w:t>)</w:t>
      </w:r>
      <w:r w:rsidR="0016627D">
        <w:rPr>
          <w:szCs w:val="24"/>
        </w:rPr>
        <w:t>.</w:t>
      </w:r>
      <w:r w:rsidR="00426BC2">
        <w:rPr>
          <w:szCs w:val="24"/>
        </w:rPr>
        <w:t xml:space="preserve"> Given the </w:t>
      </w:r>
      <w:r w:rsidR="00BB7907">
        <w:rPr>
          <w:szCs w:val="24"/>
        </w:rPr>
        <w:t xml:space="preserve">historian’s </w:t>
      </w:r>
      <w:r w:rsidR="00426BC2">
        <w:rPr>
          <w:szCs w:val="24"/>
        </w:rPr>
        <w:t>goal of</w:t>
      </w:r>
      <w:r w:rsidR="0091642B">
        <w:rPr>
          <w:szCs w:val="24"/>
        </w:rPr>
        <w:t xml:space="preserve"> rendering the linguistic behavior of other speakers fully intelligible, it becomes necessary to ascribe a core, determinate understanding of a concept to speakers to count them as having </w:t>
      </w:r>
      <w:r w:rsidR="00BB7907">
        <w:rPr>
          <w:szCs w:val="24"/>
        </w:rPr>
        <w:t>that concept –</w:t>
      </w:r>
      <w:r w:rsidR="0091642B">
        <w:rPr>
          <w:szCs w:val="24"/>
        </w:rPr>
        <w:t xml:space="preserve"> hence the appropriateness of calling the perspective of the Kuhnian historian </w:t>
      </w:r>
      <w:r w:rsidR="0091642B">
        <w:rPr>
          <w:i/>
          <w:szCs w:val="24"/>
        </w:rPr>
        <w:t>internalist</w:t>
      </w:r>
      <w:r w:rsidR="0091642B">
        <w:rPr>
          <w:szCs w:val="24"/>
        </w:rPr>
        <w:t>.</w:t>
      </w:r>
    </w:p>
    <w:p w14:paraId="410A92A3" w14:textId="77777777" w:rsidR="008A254E" w:rsidRDefault="000647AB" w:rsidP="008A254E">
      <w:pPr>
        <w:ind w:firstLine="720"/>
        <w:rPr>
          <w:szCs w:val="24"/>
        </w:rPr>
      </w:pPr>
      <w:r>
        <w:rPr>
          <w:szCs w:val="24"/>
        </w:rPr>
        <w:t>For</w:t>
      </w:r>
      <w:r w:rsidR="002C074D">
        <w:rPr>
          <w:szCs w:val="24"/>
        </w:rPr>
        <w:t xml:space="preserve"> a conceptual change to occur, on this later Kuhnian view</w:t>
      </w:r>
      <w:r>
        <w:rPr>
          <w:szCs w:val="24"/>
        </w:rPr>
        <w:t>, is</w:t>
      </w:r>
      <w:r w:rsidR="002C074D">
        <w:rPr>
          <w:szCs w:val="24"/>
        </w:rPr>
        <w:t xml:space="preserve"> therefore</w:t>
      </w:r>
      <w:r w:rsidR="003C6450">
        <w:rPr>
          <w:szCs w:val="24"/>
        </w:rPr>
        <w:t xml:space="preserve"> for speakers to </w:t>
      </w:r>
      <w:r>
        <w:rPr>
          <w:szCs w:val="24"/>
        </w:rPr>
        <w:t xml:space="preserve">associate </w:t>
      </w:r>
      <w:r w:rsidR="005B5591" w:rsidRPr="008A254E">
        <w:rPr>
          <w:i/>
          <w:szCs w:val="24"/>
        </w:rPr>
        <w:t>different</w:t>
      </w:r>
      <w:r w:rsidR="005B5591">
        <w:rPr>
          <w:szCs w:val="24"/>
        </w:rPr>
        <w:t xml:space="preserve">, </w:t>
      </w:r>
      <w:r>
        <w:rPr>
          <w:szCs w:val="24"/>
        </w:rPr>
        <w:t xml:space="preserve">core, </w:t>
      </w:r>
      <w:r w:rsidR="005B5591">
        <w:rPr>
          <w:szCs w:val="24"/>
        </w:rPr>
        <w:t>determinate content with</w:t>
      </w:r>
      <w:r>
        <w:rPr>
          <w:szCs w:val="24"/>
        </w:rPr>
        <w:t xml:space="preserve"> </w:t>
      </w:r>
      <w:r w:rsidR="008A254E">
        <w:rPr>
          <w:szCs w:val="24"/>
        </w:rPr>
        <w:t>a particular term</w:t>
      </w:r>
      <w:r w:rsidR="005B5591">
        <w:rPr>
          <w:szCs w:val="24"/>
        </w:rPr>
        <w:t>.</w:t>
      </w:r>
      <w:r>
        <w:rPr>
          <w:szCs w:val="24"/>
        </w:rPr>
        <w:t xml:space="preserve"> </w:t>
      </w:r>
      <w:r w:rsidR="008A254E">
        <w:rPr>
          <w:szCs w:val="24"/>
        </w:rPr>
        <w:t>Such a</w:t>
      </w:r>
      <w:r>
        <w:rPr>
          <w:szCs w:val="24"/>
        </w:rPr>
        <w:t xml:space="preserve"> conceptual change</w:t>
      </w:r>
      <w:r w:rsidR="00202881">
        <w:rPr>
          <w:szCs w:val="24"/>
        </w:rPr>
        <w:t>, however,</w:t>
      </w:r>
      <w:r>
        <w:rPr>
          <w:szCs w:val="24"/>
        </w:rPr>
        <w:t xml:space="preserve"> may well be obscured by </w:t>
      </w:r>
      <w:r w:rsidR="002015F6">
        <w:rPr>
          <w:szCs w:val="24"/>
        </w:rPr>
        <w:t xml:space="preserve">the homophonic </w:t>
      </w:r>
      <w:r>
        <w:rPr>
          <w:szCs w:val="24"/>
        </w:rPr>
        <w:t xml:space="preserve">stability in the words </w:t>
      </w:r>
      <w:r w:rsidR="004B18C3">
        <w:rPr>
          <w:szCs w:val="24"/>
        </w:rPr>
        <w:t>speakers use to express these different concep</w:t>
      </w:r>
      <w:r w:rsidR="004C3CB9">
        <w:rPr>
          <w:szCs w:val="24"/>
        </w:rPr>
        <w:t xml:space="preserve">ts. </w:t>
      </w:r>
      <w:r w:rsidR="00C94445">
        <w:rPr>
          <w:rFonts w:cs="Palatino nova"/>
          <w:color w:val="000000"/>
          <w:szCs w:val="24"/>
        </w:rPr>
        <w:t>The later Kuhn would</w:t>
      </w:r>
      <w:r w:rsidR="004B18C3">
        <w:rPr>
          <w:rFonts w:cs="Palatino nova"/>
          <w:color w:val="000000"/>
          <w:szCs w:val="24"/>
        </w:rPr>
        <w:t xml:space="preserve"> therefore dispute Rouse’s claim </w:t>
      </w:r>
      <w:r w:rsidR="00C94445">
        <w:rPr>
          <w:rFonts w:cs="Palatino nova"/>
          <w:color w:val="000000"/>
          <w:szCs w:val="24"/>
        </w:rPr>
        <w:t xml:space="preserve">that we should take our concepts of </w:t>
      </w:r>
      <w:r w:rsidR="00C94445" w:rsidRPr="00DA3EB6">
        <w:rPr>
          <w:rFonts w:cs="Palatino nova"/>
          <w:color w:val="000000"/>
          <w:sz w:val="18"/>
          <w:szCs w:val="18"/>
        </w:rPr>
        <w:t xml:space="preserve">ELECTRON </w:t>
      </w:r>
      <w:r w:rsidR="00C94445">
        <w:rPr>
          <w:rFonts w:cs="Palatino nova"/>
          <w:color w:val="000000"/>
          <w:szCs w:val="24"/>
        </w:rPr>
        <w:t xml:space="preserve">and </w:t>
      </w:r>
      <w:r w:rsidR="00C94445" w:rsidRPr="00DA3EB6">
        <w:rPr>
          <w:rFonts w:cs="Palatino nova"/>
          <w:color w:val="000000"/>
          <w:sz w:val="18"/>
          <w:szCs w:val="18"/>
        </w:rPr>
        <w:t>GENE</w:t>
      </w:r>
      <w:r w:rsidR="00C94445">
        <w:rPr>
          <w:rFonts w:cs="Palatino nova"/>
          <w:color w:val="000000"/>
          <w:sz w:val="18"/>
          <w:szCs w:val="18"/>
        </w:rPr>
        <w:t xml:space="preserve"> </w:t>
      </w:r>
      <w:r w:rsidR="00C94445">
        <w:rPr>
          <w:rFonts w:cs="Palatino nova"/>
          <w:color w:val="000000"/>
          <w:szCs w:val="24"/>
        </w:rPr>
        <w:t>to be</w:t>
      </w:r>
      <w:r w:rsidR="001147B3">
        <w:rPr>
          <w:rFonts w:cs="Palatino nova"/>
          <w:color w:val="000000"/>
          <w:szCs w:val="24"/>
        </w:rPr>
        <w:t>, in some sense,</w:t>
      </w:r>
      <w:r w:rsidR="00C94445">
        <w:rPr>
          <w:rFonts w:cs="Palatino nova"/>
          <w:color w:val="000000"/>
          <w:szCs w:val="24"/>
        </w:rPr>
        <w:t xml:space="preserve"> the same as Thomson’s and Johannsen’s. </w:t>
      </w:r>
      <w:r w:rsidR="00BB7907">
        <w:rPr>
          <w:rFonts w:cs="Palatino nova"/>
          <w:color w:val="000000"/>
          <w:szCs w:val="24"/>
        </w:rPr>
        <w:t>If we take the</w:t>
      </w:r>
      <w:r w:rsidR="004A13DB">
        <w:rPr>
          <w:rFonts w:cs="Palatino nova"/>
          <w:color w:val="000000"/>
          <w:szCs w:val="24"/>
        </w:rPr>
        <w:t xml:space="preserve"> prospective externalist</w:t>
      </w:r>
      <w:r w:rsidR="002015F6">
        <w:rPr>
          <w:rFonts w:cs="Palatino nova"/>
          <w:color w:val="000000"/>
          <w:szCs w:val="24"/>
        </w:rPr>
        <w:t xml:space="preserve"> approach</w:t>
      </w:r>
      <w:r w:rsidR="00BB7907">
        <w:rPr>
          <w:rFonts w:cs="Palatino nova"/>
          <w:color w:val="000000"/>
          <w:szCs w:val="24"/>
        </w:rPr>
        <w:t xml:space="preserve"> to be decisive</w:t>
      </w:r>
      <w:r w:rsidR="004B18C3">
        <w:rPr>
          <w:rFonts w:cs="Palatino nova"/>
          <w:color w:val="000000"/>
          <w:szCs w:val="24"/>
        </w:rPr>
        <w:t>, we will</w:t>
      </w:r>
      <w:r w:rsidR="002015F6">
        <w:rPr>
          <w:rFonts w:cs="Palatino nova"/>
          <w:color w:val="000000"/>
          <w:szCs w:val="24"/>
        </w:rPr>
        <w:t xml:space="preserve"> inevitably</w:t>
      </w:r>
      <w:r w:rsidR="004B18C3">
        <w:rPr>
          <w:rFonts w:cs="Palatino nova"/>
          <w:color w:val="000000"/>
          <w:szCs w:val="24"/>
        </w:rPr>
        <w:t xml:space="preserve"> encounter consistent failures of translation in </w:t>
      </w:r>
      <w:r w:rsidR="00C94445">
        <w:rPr>
          <w:rFonts w:cs="Palatino nova"/>
          <w:color w:val="000000"/>
          <w:szCs w:val="24"/>
        </w:rPr>
        <w:t>our attempts to substitute our understanding</w:t>
      </w:r>
      <w:r w:rsidR="004B18C3">
        <w:rPr>
          <w:rFonts w:cs="Palatino nova"/>
          <w:color w:val="000000"/>
          <w:szCs w:val="24"/>
        </w:rPr>
        <w:t xml:space="preserve"> of these concepts</w:t>
      </w:r>
      <w:r w:rsidR="00C94445">
        <w:rPr>
          <w:rFonts w:cs="Palatino nova"/>
          <w:color w:val="000000"/>
          <w:szCs w:val="24"/>
        </w:rPr>
        <w:t xml:space="preserve"> into </w:t>
      </w:r>
      <w:r w:rsidR="001147B3">
        <w:rPr>
          <w:rFonts w:cs="Palatino nova"/>
          <w:color w:val="000000"/>
          <w:szCs w:val="24"/>
        </w:rPr>
        <w:t>the</w:t>
      </w:r>
      <w:r w:rsidR="00EE0D6F">
        <w:rPr>
          <w:rFonts w:cs="Palatino nova"/>
          <w:color w:val="000000"/>
          <w:szCs w:val="24"/>
        </w:rPr>
        <w:t>se earlier speakers’</w:t>
      </w:r>
      <w:r w:rsidR="001147B3">
        <w:rPr>
          <w:rFonts w:cs="Palatino nova"/>
          <w:color w:val="000000"/>
          <w:szCs w:val="24"/>
        </w:rPr>
        <w:t xml:space="preserve"> </w:t>
      </w:r>
      <w:r w:rsidR="00C94445">
        <w:rPr>
          <w:rFonts w:cs="Palatino nova"/>
          <w:color w:val="000000"/>
          <w:szCs w:val="24"/>
        </w:rPr>
        <w:t>linguistic contexts</w:t>
      </w:r>
      <w:r w:rsidR="00A62487">
        <w:rPr>
          <w:rFonts w:cs="Palatino nova"/>
          <w:color w:val="000000"/>
          <w:szCs w:val="24"/>
        </w:rPr>
        <w:t xml:space="preserve"> </w:t>
      </w:r>
      <w:r w:rsidR="00BB7907">
        <w:rPr>
          <w:rFonts w:cs="Palatino nova"/>
          <w:color w:val="000000"/>
          <w:szCs w:val="24"/>
        </w:rPr>
        <w:t>and</w:t>
      </w:r>
      <w:r w:rsidR="00EE0D6F">
        <w:rPr>
          <w:rFonts w:cs="Palatino nova"/>
          <w:color w:val="000000"/>
          <w:szCs w:val="24"/>
        </w:rPr>
        <w:t xml:space="preserve"> their</w:t>
      </w:r>
      <w:r w:rsidR="00BB7907">
        <w:rPr>
          <w:rFonts w:cs="Palatino nova"/>
          <w:color w:val="000000"/>
          <w:szCs w:val="24"/>
        </w:rPr>
        <w:t xml:space="preserve"> use of the </w:t>
      </w:r>
      <w:proofErr w:type="gramStart"/>
      <w:r w:rsidR="00BB7907">
        <w:rPr>
          <w:rFonts w:cs="Palatino nova"/>
          <w:color w:val="000000"/>
          <w:szCs w:val="24"/>
        </w:rPr>
        <w:t>terms</w:t>
      </w:r>
      <w:proofErr w:type="gramEnd"/>
      <w:r w:rsidR="00C94445">
        <w:rPr>
          <w:rFonts w:cs="Palatino nova"/>
          <w:color w:val="000000"/>
          <w:szCs w:val="24"/>
        </w:rPr>
        <w:t xml:space="preserve"> ‘electron’ and ‘gene’</w:t>
      </w:r>
      <w:r w:rsidR="004B18C3">
        <w:rPr>
          <w:rFonts w:cs="Palatino nova"/>
          <w:color w:val="000000"/>
          <w:szCs w:val="24"/>
        </w:rPr>
        <w:t>.</w:t>
      </w:r>
    </w:p>
    <w:p w14:paraId="4DA840CB" w14:textId="77777777" w:rsidR="001147B3" w:rsidRPr="001147B3" w:rsidRDefault="00494BA3" w:rsidP="00F25A07">
      <w:pPr>
        <w:ind w:firstLine="720"/>
        <w:rPr>
          <w:szCs w:val="24"/>
        </w:rPr>
      </w:pPr>
      <w:r>
        <w:rPr>
          <w:szCs w:val="24"/>
        </w:rPr>
        <w:t>Here is a</w:t>
      </w:r>
      <w:r w:rsidR="004C3CB9" w:rsidRPr="001147B3">
        <w:rPr>
          <w:szCs w:val="24"/>
        </w:rPr>
        <w:t xml:space="preserve"> representative formulation </w:t>
      </w:r>
      <w:r w:rsidR="001147B3" w:rsidRPr="001147B3">
        <w:rPr>
          <w:szCs w:val="24"/>
        </w:rPr>
        <w:t>of this line of thought from Kuhn’s</w:t>
      </w:r>
      <w:r w:rsidR="004C3CB9" w:rsidRPr="001147B3">
        <w:rPr>
          <w:szCs w:val="24"/>
        </w:rPr>
        <w:t xml:space="preserve"> later work: “Consider the compound sentence, </w:t>
      </w:r>
      <w:r w:rsidR="00C51372">
        <w:rPr>
          <w:szCs w:val="24"/>
        </w:rPr>
        <w:t>‘</w:t>
      </w:r>
      <w:r w:rsidR="004C3CB9" w:rsidRPr="001147B3">
        <w:rPr>
          <w:szCs w:val="24"/>
        </w:rPr>
        <w:t>In the Ptolemaic system planets revolve about the earth; in the Coperni</w:t>
      </w:r>
      <w:r w:rsidR="00C51372">
        <w:rPr>
          <w:szCs w:val="24"/>
        </w:rPr>
        <w:t>can they revolve about the sun.’</w:t>
      </w:r>
      <w:r w:rsidR="004C3CB9" w:rsidRPr="001147B3">
        <w:rPr>
          <w:szCs w:val="24"/>
        </w:rPr>
        <w:t xml:space="preserve"> Strictly construed, that sentence is incoherent. The first occurrence of the term ‘planet’ is Ptolemaic, the second Copernican, and the two attach to nature differently. For no univocal reading of the term ‘planet’ is the comp</w:t>
      </w:r>
      <w:r w:rsidR="001147B3" w:rsidRPr="001147B3">
        <w:rPr>
          <w:szCs w:val="24"/>
        </w:rPr>
        <w:t xml:space="preserve">ound sentence true” (2002, 15). There is no “univocal” interpretation of the term ‘planet’ or concept </w:t>
      </w:r>
      <w:r w:rsidR="001147B3" w:rsidRPr="001147B3">
        <w:rPr>
          <w:sz w:val="18"/>
          <w:szCs w:val="18"/>
        </w:rPr>
        <w:t>PLANET</w:t>
      </w:r>
      <w:r w:rsidR="001147B3">
        <w:rPr>
          <w:sz w:val="18"/>
          <w:szCs w:val="18"/>
        </w:rPr>
        <w:t xml:space="preserve"> </w:t>
      </w:r>
      <w:r w:rsidR="001147B3">
        <w:rPr>
          <w:szCs w:val="24"/>
        </w:rPr>
        <w:t xml:space="preserve">that could make these Copernican and Ptolemaic formulations count as </w:t>
      </w:r>
      <w:proofErr w:type="spellStart"/>
      <w:r w:rsidR="001147B3">
        <w:rPr>
          <w:szCs w:val="24"/>
        </w:rPr>
        <w:t>samesaying</w:t>
      </w:r>
      <w:proofErr w:type="spellEnd"/>
      <w:r w:rsidR="001147B3">
        <w:rPr>
          <w:szCs w:val="24"/>
        </w:rPr>
        <w:t xml:space="preserve"> because each understanding of the term</w:t>
      </w:r>
      <w:r>
        <w:rPr>
          <w:szCs w:val="24"/>
        </w:rPr>
        <w:t xml:space="preserve"> or concept</w:t>
      </w:r>
      <w:r w:rsidR="001147B3">
        <w:rPr>
          <w:szCs w:val="24"/>
        </w:rPr>
        <w:t xml:space="preserve"> differs in terms of the core content sp</w:t>
      </w:r>
      <w:r>
        <w:rPr>
          <w:szCs w:val="24"/>
        </w:rPr>
        <w:t xml:space="preserve">eakers associate with </w:t>
      </w:r>
      <w:r w:rsidR="00F25A07">
        <w:rPr>
          <w:szCs w:val="24"/>
        </w:rPr>
        <w:t>it</w:t>
      </w:r>
      <w:r>
        <w:rPr>
          <w:szCs w:val="24"/>
        </w:rPr>
        <w:t>.</w:t>
      </w:r>
      <w:r w:rsidR="00F25A07">
        <w:rPr>
          <w:szCs w:val="24"/>
        </w:rPr>
        <w:t xml:space="preserve"> There is nothing further – such as </w:t>
      </w:r>
      <w:proofErr w:type="spellStart"/>
      <w:r w:rsidR="00F25A07">
        <w:rPr>
          <w:szCs w:val="24"/>
        </w:rPr>
        <w:t>Cappelen’s</w:t>
      </w:r>
      <w:proofErr w:type="spellEnd"/>
      <w:r w:rsidR="00F25A07">
        <w:rPr>
          <w:szCs w:val="24"/>
        </w:rPr>
        <w:t xml:space="preserve"> “topics” or Sawyer’s “concepts” – that could subtend these speakers’ </w:t>
      </w:r>
      <w:r w:rsidR="00BF719C">
        <w:rPr>
          <w:szCs w:val="24"/>
        </w:rPr>
        <w:t>disparate</w:t>
      </w:r>
      <w:r w:rsidR="00F25A07">
        <w:rPr>
          <w:szCs w:val="24"/>
        </w:rPr>
        <w:t xml:space="preserve"> understandings</w:t>
      </w:r>
      <w:r w:rsidR="00A06810">
        <w:rPr>
          <w:szCs w:val="24"/>
        </w:rPr>
        <w:t xml:space="preserve"> to make it the case that they</w:t>
      </w:r>
      <w:r w:rsidR="0012122B">
        <w:rPr>
          <w:szCs w:val="24"/>
        </w:rPr>
        <w:t xml:space="preserve"> nonetheless</w:t>
      </w:r>
      <w:r w:rsidR="00A06810">
        <w:rPr>
          <w:szCs w:val="24"/>
        </w:rPr>
        <w:t xml:space="preserve"> count as </w:t>
      </w:r>
      <w:proofErr w:type="spellStart"/>
      <w:r w:rsidR="00A06810">
        <w:rPr>
          <w:szCs w:val="24"/>
        </w:rPr>
        <w:t>samesaying</w:t>
      </w:r>
      <w:proofErr w:type="spellEnd"/>
      <w:r w:rsidR="00F25A07">
        <w:rPr>
          <w:szCs w:val="24"/>
        </w:rPr>
        <w:t xml:space="preserve">. </w:t>
      </w:r>
      <w:r w:rsidR="001147B3">
        <w:rPr>
          <w:szCs w:val="24"/>
        </w:rPr>
        <w:t xml:space="preserve">From within Kuhn’s retrospective internalist perspective, there is no sense to be made of a concept of </w:t>
      </w:r>
      <w:r w:rsidR="001147B3" w:rsidRPr="001147B3">
        <w:rPr>
          <w:sz w:val="18"/>
          <w:szCs w:val="18"/>
        </w:rPr>
        <w:t>PLANET</w:t>
      </w:r>
      <w:r w:rsidR="00E91145">
        <w:rPr>
          <w:szCs w:val="24"/>
        </w:rPr>
        <w:t>,</w:t>
      </w:r>
      <w:r w:rsidR="001147B3">
        <w:rPr>
          <w:szCs w:val="24"/>
        </w:rPr>
        <w:t xml:space="preserve"> </w:t>
      </w:r>
      <w:r w:rsidR="001147B3">
        <w:rPr>
          <w:sz w:val="18"/>
          <w:szCs w:val="18"/>
        </w:rPr>
        <w:t>GENE</w:t>
      </w:r>
      <w:r w:rsidR="00E91145">
        <w:rPr>
          <w:szCs w:val="24"/>
        </w:rPr>
        <w:t>,</w:t>
      </w:r>
      <w:r w:rsidR="001147B3">
        <w:rPr>
          <w:sz w:val="18"/>
          <w:szCs w:val="18"/>
        </w:rPr>
        <w:t xml:space="preserve"> </w:t>
      </w:r>
      <w:r w:rsidR="001147B3">
        <w:rPr>
          <w:szCs w:val="24"/>
        </w:rPr>
        <w:t xml:space="preserve">or </w:t>
      </w:r>
      <w:r w:rsidR="001147B3">
        <w:rPr>
          <w:sz w:val="18"/>
          <w:szCs w:val="18"/>
        </w:rPr>
        <w:t>ELECTRON</w:t>
      </w:r>
      <w:r w:rsidR="001147B3">
        <w:rPr>
          <w:szCs w:val="24"/>
        </w:rPr>
        <w:t xml:space="preserve"> </w:t>
      </w:r>
      <w:r w:rsidR="001147B3">
        <w:rPr>
          <w:i/>
          <w:szCs w:val="24"/>
        </w:rPr>
        <w:t>simpliciter</w:t>
      </w:r>
      <w:r w:rsidR="001147B3">
        <w:rPr>
          <w:szCs w:val="24"/>
        </w:rPr>
        <w:t xml:space="preserve">: there are only fundamentally different understandings </w:t>
      </w:r>
      <w:r w:rsidR="00F25A07">
        <w:rPr>
          <w:szCs w:val="24"/>
        </w:rPr>
        <w:t>and so fundamentally different concepts</w:t>
      </w:r>
      <w:r w:rsidR="001147B3">
        <w:rPr>
          <w:szCs w:val="24"/>
        </w:rPr>
        <w:t xml:space="preserve"> that fail to be intersubstitutable and whose differences are obscured by stability in associated word strings.</w:t>
      </w:r>
    </w:p>
    <w:p w14:paraId="4ACA93D2" w14:textId="77777777" w:rsidR="004C3CB9" w:rsidRPr="0055068F" w:rsidRDefault="001147B3" w:rsidP="00BA3271">
      <w:pPr>
        <w:ind w:firstLine="720"/>
        <w:rPr>
          <w:szCs w:val="24"/>
        </w:rPr>
      </w:pPr>
      <w:r w:rsidRPr="008A254E">
        <w:rPr>
          <w:szCs w:val="24"/>
        </w:rPr>
        <w:t xml:space="preserve">Rouse’s reply here would be that </w:t>
      </w:r>
      <w:r w:rsidR="004C3CB9" w:rsidRPr="008A254E">
        <w:rPr>
          <w:szCs w:val="24"/>
        </w:rPr>
        <w:t xml:space="preserve">if we </w:t>
      </w:r>
      <w:r w:rsidRPr="008A254E">
        <w:rPr>
          <w:szCs w:val="24"/>
        </w:rPr>
        <w:t xml:space="preserve">consider the perspective of </w:t>
      </w:r>
      <w:r w:rsidR="00F25A07">
        <w:rPr>
          <w:szCs w:val="24"/>
        </w:rPr>
        <w:t xml:space="preserve">the </w:t>
      </w:r>
      <w:r w:rsidRPr="008A254E">
        <w:rPr>
          <w:szCs w:val="24"/>
        </w:rPr>
        <w:t xml:space="preserve">scientific inquirers </w:t>
      </w:r>
      <w:r w:rsidRPr="00F25A07">
        <w:rPr>
          <w:i/>
          <w:szCs w:val="24"/>
        </w:rPr>
        <w:t>themselves</w:t>
      </w:r>
      <w:r w:rsidR="008A254E" w:rsidRPr="008A254E">
        <w:rPr>
          <w:szCs w:val="24"/>
        </w:rPr>
        <w:t xml:space="preserve"> who were</w:t>
      </w:r>
      <w:r w:rsidR="00494BA3">
        <w:rPr>
          <w:szCs w:val="24"/>
        </w:rPr>
        <w:t xml:space="preserve"> or are</w:t>
      </w:r>
      <w:r w:rsidR="008A254E" w:rsidRPr="008A254E">
        <w:rPr>
          <w:szCs w:val="24"/>
        </w:rPr>
        <w:t xml:space="preserve"> arguing over how to correctly understand these concep</w:t>
      </w:r>
      <w:r w:rsidR="0012122B">
        <w:rPr>
          <w:szCs w:val="24"/>
        </w:rPr>
        <w:t xml:space="preserve">ts, we will find that from their </w:t>
      </w:r>
      <w:r w:rsidR="008A254E" w:rsidRPr="0012122B">
        <w:rPr>
          <w:szCs w:val="24"/>
        </w:rPr>
        <w:t>prospective</w:t>
      </w:r>
      <w:r w:rsidR="00494BA3" w:rsidRPr="0012122B">
        <w:rPr>
          <w:szCs w:val="24"/>
        </w:rPr>
        <w:t xml:space="preserve"> </w:t>
      </w:r>
      <w:r w:rsidR="00494BA3">
        <w:rPr>
          <w:szCs w:val="24"/>
        </w:rPr>
        <w:t>outlook, these inquirers take</w:t>
      </w:r>
      <w:r w:rsidR="008A254E" w:rsidRPr="008A254E">
        <w:rPr>
          <w:szCs w:val="24"/>
        </w:rPr>
        <w:t xml:space="preserve"> one another to be </w:t>
      </w:r>
      <w:proofErr w:type="spellStart"/>
      <w:r w:rsidR="008A254E" w:rsidRPr="008A254E">
        <w:rPr>
          <w:szCs w:val="24"/>
        </w:rPr>
        <w:t>samesaying</w:t>
      </w:r>
      <w:proofErr w:type="spellEnd"/>
      <w:r w:rsidR="008A254E" w:rsidRPr="008A254E">
        <w:rPr>
          <w:szCs w:val="24"/>
        </w:rPr>
        <w:t xml:space="preserve">. </w:t>
      </w:r>
      <w:r w:rsidR="004C3CB9" w:rsidRPr="008A254E">
        <w:rPr>
          <w:szCs w:val="24"/>
        </w:rPr>
        <w:t>A proponent of a Ptolemaic system and a proponent of a Co</w:t>
      </w:r>
      <w:r w:rsidR="008A254E" w:rsidRPr="008A254E">
        <w:rPr>
          <w:szCs w:val="24"/>
        </w:rPr>
        <w:t xml:space="preserve">pernican system </w:t>
      </w:r>
      <w:r w:rsidR="004C3CB9" w:rsidRPr="008A254E">
        <w:rPr>
          <w:szCs w:val="24"/>
        </w:rPr>
        <w:t xml:space="preserve">count as </w:t>
      </w:r>
      <w:proofErr w:type="spellStart"/>
      <w:r w:rsidR="004C3CB9" w:rsidRPr="008A254E">
        <w:rPr>
          <w:szCs w:val="24"/>
        </w:rPr>
        <w:t>samesaying</w:t>
      </w:r>
      <w:proofErr w:type="spellEnd"/>
      <w:r w:rsidR="008A254E" w:rsidRPr="008A254E">
        <w:rPr>
          <w:szCs w:val="24"/>
        </w:rPr>
        <w:t xml:space="preserve"> with respect to the term ‘planet’,</w:t>
      </w:r>
      <w:r w:rsidR="00F25A07">
        <w:rPr>
          <w:szCs w:val="24"/>
        </w:rPr>
        <w:t xml:space="preserve"> on this view,</w:t>
      </w:r>
      <w:r w:rsidR="0055068F">
        <w:rPr>
          <w:szCs w:val="24"/>
        </w:rPr>
        <w:t xml:space="preserve"> just</w:t>
      </w:r>
      <w:r w:rsidR="008A254E" w:rsidRPr="008A254E">
        <w:rPr>
          <w:szCs w:val="24"/>
        </w:rPr>
        <w:t xml:space="preserve"> </w:t>
      </w:r>
      <w:r w:rsidR="004C3CB9" w:rsidRPr="008A254E">
        <w:rPr>
          <w:szCs w:val="24"/>
        </w:rPr>
        <w:t xml:space="preserve">insofar as they take one another to </w:t>
      </w:r>
      <w:r w:rsidR="008A254E" w:rsidRPr="008A254E">
        <w:rPr>
          <w:szCs w:val="24"/>
        </w:rPr>
        <w:t>be after the same thing</w:t>
      </w:r>
      <w:r w:rsidR="00EE0D6F">
        <w:rPr>
          <w:szCs w:val="24"/>
        </w:rPr>
        <w:t xml:space="preserve"> – the same concept/topic</w:t>
      </w:r>
      <w:r w:rsidR="008A254E" w:rsidRPr="008A254E">
        <w:rPr>
          <w:szCs w:val="24"/>
        </w:rPr>
        <w:t>.</w:t>
      </w:r>
      <w:r w:rsidR="00BA3271">
        <w:rPr>
          <w:szCs w:val="24"/>
        </w:rPr>
        <w:t xml:space="preserve"> </w:t>
      </w:r>
      <w:r w:rsidR="0055068F" w:rsidRPr="0055068F">
        <w:rPr>
          <w:szCs w:val="24"/>
        </w:rPr>
        <w:t xml:space="preserve">Interestingly, the later Kuhn has a certain sympathy for something like this alternative, prospective </w:t>
      </w:r>
      <w:r w:rsidR="0055068F">
        <w:rPr>
          <w:szCs w:val="24"/>
        </w:rPr>
        <w:t xml:space="preserve">approach to conceptual change: </w:t>
      </w:r>
    </w:p>
    <w:p w14:paraId="5895C497" w14:textId="77777777" w:rsidR="00F665F9" w:rsidRDefault="00F665F9" w:rsidP="00F665F9"/>
    <w:p w14:paraId="04A3C4E1" w14:textId="77777777" w:rsidR="00F665F9" w:rsidRPr="001F195E" w:rsidRDefault="00F665F9" w:rsidP="00F665F9">
      <w:pPr>
        <w:ind w:left="720"/>
        <w:rPr>
          <w:sz w:val="22"/>
        </w:rPr>
      </w:pPr>
      <w:r w:rsidRPr="001F195E">
        <w:rPr>
          <w:sz w:val="22"/>
        </w:rPr>
        <w:t>In recent years I have increasingly recognized that my conception of the process by which scientists move forward has been too closely modeled on my experience with the process by which historians move into the past. For the historian, the period of wrestling with nonsense passages in out-of-date texts is ordinarily marked by episodes in which the sudden recovery of a long-forgotten way to use some still-familiar terms brings new understanding and coherence (2002, 87).</w:t>
      </w:r>
    </w:p>
    <w:p w14:paraId="19C48E0F" w14:textId="77777777" w:rsidR="00F665F9" w:rsidRDefault="00F665F9" w:rsidP="00F665F9"/>
    <w:p w14:paraId="248A9045" w14:textId="77777777" w:rsidR="0055068F" w:rsidRDefault="00F665F9" w:rsidP="0055068F">
      <w:pPr>
        <w:rPr>
          <w:rFonts w:cs="ChaparralPro-Regular"/>
          <w:szCs w:val="24"/>
        </w:rPr>
      </w:pPr>
      <w:r>
        <w:t>We therefore must be careful, Kuhn warns, to keep in mind that “[</w:t>
      </w:r>
      <w:proofErr w:type="spellStart"/>
      <w:r>
        <w:t>i</w:t>
      </w:r>
      <w:proofErr w:type="spellEnd"/>
      <w:r>
        <w:t>]</w:t>
      </w:r>
      <w:proofErr w:type="spellStart"/>
      <w:r>
        <w:t>nsofar</w:t>
      </w:r>
      <w:proofErr w:type="spellEnd"/>
      <w:r>
        <w:t xml:space="preserve"> as the historian’s gestalt switch provides the model, the magnitude of the conceptual transpositions characteristic of scientific </w:t>
      </w:r>
      <w:r>
        <w:lastRenderedPageBreak/>
        <w:t>development is exaggerated. Historians, working backward, regularly experience as a single conceptual shift a transposition for which the development process required a series of stages” (88).</w:t>
      </w:r>
      <w:r w:rsidR="0055068F">
        <w:t xml:space="preserve"> Kuhn’s later position is therefore</w:t>
      </w:r>
      <w:r w:rsidR="00BA3271">
        <w:t xml:space="preserve"> that</w:t>
      </w:r>
      <w:r w:rsidR="0055068F">
        <w:t xml:space="preserve"> </w:t>
      </w:r>
      <w:r w:rsidR="0055068F">
        <w:rPr>
          <w:rFonts w:cs="ChaparralPro-Regular"/>
          <w:szCs w:val="24"/>
        </w:rPr>
        <w:t>even if, prospectively, all speakers appeared to one another to be invoking the same</w:t>
      </w:r>
      <w:r w:rsidR="00EE0D6F">
        <w:rPr>
          <w:rFonts w:cs="ChaparralPro-Regular"/>
          <w:szCs w:val="24"/>
        </w:rPr>
        <w:t xml:space="preserve"> </w:t>
      </w:r>
      <w:r w:rsidR="0055068F">
        <w:rPr>
          <w:rFonts w:cs="ChaparralPro-Regular"/>
          <w:szCs w:val="24"/>
        </w:rPr>
        <w:t xml:space="preserve">concept, there is still </w:t>
      </w:r>
      <w:r w:rsidR="0012122B">
        <w:rPr>
          <w:rFonts w:cs="ChaparralPro-Regular"/>
          <w:szCs w:val="24"/>
        </w:rPr>
        <w:t xml:space="preserve">nonetheless </w:t>
      </w:r>
      <w:r w:rsidR="0055068F">
        <w:rPr>
          <w:rFonts w:cs="ChaparralPro-Regular"/>
          <w:szCs w:val="24"/>
        </w:rPr>
        <w:t>good reason from the historian’s perspective to make fine-grained distinctions among concepts used by particular speakers</w:t>
      </w:r>
      <w:r w:rsidR="00BA3271">
        <w:rPr>
          <w:rFonts w:cs="ChaparralPro-Regular"/>
          <w:szCs w:val="24"/>
        </w:rPr>
        <w:t xml:space="preserve"> </w:t>
      </w:r>
      <w:r w:rsidR="00494BA3">
        <w:rPr>
          <w:rFonts w:cs="ChaparralPro-Regular"/>
          <w:szCs w:val="24"/>
        </w:rPr>
        <w:t>where</w:t>
      </w:r>
      <w:r w:rsidR="00BA3271">
        <w:rPr>
          <w:rFonts w:cs="ChaparralPro-Regular"/>
          <w:szCs w:val="24"/>
        </w:rPr>
        <w:t xml:space="preserve">, as a result, </w:t>
      </w:r>
      <w:r w:rsidR="0055068F">
        <w:rPr>
          <w:rFonts w:cs="ChaparralPro-Regular"/>
          <w:szCs w:val="24"/>
        </w:rPr>
        <w:t xml:space="preserve">these speakers </w:t>
      </w:r>
      <w:r w:rsidR="00BB7907">
        <w:rPr>
          <w:rFonts w:cs="ChaparralPro-Regular"/>
          <w:szCs w:val="24"/>
        </w:rPr>
        <w:t>will</w:t>
      </w:r>
      <w:r w:rsidR="0055068F">
        <w:rPr>
          <w:rFonts w:cs="ChaparralPro-Regular"/>
          <w:szCs w:val="24"/>
        </w:rPr>
        <w:t xml:space="preserve"> not count as </w:t>
      </w:r>
      <w:proofErr w:type="spellStart"/>
      <w:r w:rsidR="0055068F">
        <w:rPr>
          <w:rFonts w:cs="ChaparralPro-Regular"/>
          <w:szCs w:val="24"/>
        </w:rPr>
        <w:t>samesaying</w:t>
      </w:r>
      <w:proofErr w:type="spellEnd"/>
      <w:r w:rsidR="0055068F">
        <w:rPr>
          <w:rFonts w:cs="ChaparralPro-Regular"/>
          <w:szCs w:val="24"/>
        </w:rPr>
        <w:t xml:space="preserve"> and a conceptual change </w:t>
      </w:r>
      <w:r w:rsidR="00494BA3">
        <w:rPr>
          <w:rFonts w:cs="ChaparralPro-Regular"/>
          <w:szCs w:val="24"/>
        </w:rPr>
        <w:t>should be judged to</w:t>
      </w:r>
      <w:r w:rsidR="00BA3271">
        <w:rPr>
          <w:rFonts w:cs="ChaparralPro-Regular"/>
          <w:szCs w:val="24"/>
        </w:rPr>
        <w:t xml:space="preserve"> </w:t>
      </w:r>
      <w:r w:rsidR="0055068F">
        <w:rPr>
          <w:rFonts w:cs="ChaparralPro-Regular"/>
          <w:szCs w:val="24"/>
        </w:rPr>
        <w:t>occur.</w:t>
      </w:r>
    </w:p>
    <w:p w14:paraId="72CD7118" w14:textId="77777777" w:rsidR="005D484E" w:rsidRDefault="0055068F" w:rsidP="0055068F">
      <w:pPr>
        <w:rPr>
          <w:rFonts w:cs="ChaparralPro-Regular"/>
          <w:szCs w:val="24"/>
        </w:rPr>
      </w:pPr>
      <w:r>
        <w:rPr>
          <w:rFonts w:cs="ChaparralPro-Regular"/>
          <w:szCs w:val="24"/>
        </w:rPr>
        <w:tab/>
        <w:t xml:space="preserve">Kuhn’s </w:t>
      </w:r>
      <w:r w:rsidR="00BA3271">
        <w:rPr>
          <w:rFonts w:cs="ChaparralPro-Regular"/>
          <w:szCs w:val="24"/>
        </w:rPr>
        <w:t>concessions</w:t>
      </w:r>
      <w:r>
        <w:rPr>
          <w:rFonts w:cs="ChaparralPro-Regular"/>
          <w:szCs w:val="24"/>
        </w:rPr>
        <w:t xml:space="preserve"> here</w:t>
      </w:r>
      <w:r w:rsidR="002A6A09">
        <w:rPr>
          <w:rFonts w:cs="ChaparralPro-Regular"/>
          <w:szCs w:val="24"/>
        </w:rPr>
        <w:t xml:space="preserve"> towards </w:t>
      </w:r>
      <w:r>
        <w:rPr>
          <w:rFonts w:cs="ChaparralPro-Regular"/>
          <w:szCs w:val="24"/>
        </w:rPr>
        <w:t>critics of his incommensur</w:t>
      </w:r>
      <w:r w:rsidR="00BA3271">
        <w:rPr>
          <w:rFonts w:cs="ChaparralPro-Regular"/>
          <w:szCs w:val="24"/>
        </w:rPr>
        <w:t>ability thesis are helpful, but he nonetheless goes on</w:t>
      </w:r>
      <w:r w:rsidR="002A6A09">
        <w:rPr>
          <w:rFonts w:cs="ChaparralPro-Regular"/>
          <w:szCs w:val="24"/>
        </w:rPr>
        <w:t xml:space="preserve"> in later essays</w:t>
      </w:r>
      <w:r w:rsidR="00BA3271">
        <w:rPr>
          <w:rFonts w:cs="ChaparralPro-Regular"/>
          <w:szCs w:val="24"/>
        </w:rPr>
        <w:t xml:space="preserve"> to focus almost exclusively </w:t>
      </w:r>
      <w:r>
        <w:rPr>
          <w:rFonts w:cs="ChaparralPro-Regular"/>
          <w:szCs w:val="24"/>
        </w:rPr>
        <w:t xml:space="preserve">on </w:t>
      </w:r>
      <w:r w:rsidR="002A6A09">
        <w:rPr>
          <w:rFonts w:cs="ChaparralPro-Regular"/>
          <w:szCs w:val="24"/>
        </w:rPr>
        <w:t>his</w:t>
      </w:r>
      <w:r>
        <w:rPr>
          <w:rFonts w:cs="ChaparralPro-Regular"/>
          <w:szCs w:val="24"/>
        </w:rPr>
        <w:t xml:space="preserve"> historian’s perspective on </w:t>
      </w:r>
      <w:r w:rsidR="00BA3271">
        <w:rPr>
          <w:rFonts w:cs="ChaparralPro-Regular"/>
          <w:szCs w:val="24"/>
        </w:rPr>
        <w:t>conceptual change. He therefore never develops in any detail the observation implicit in the above passages: the way</w:t>
      </w:r>
      <w:r w:rsidR="002A6A09">
        <w:rPr>
          <w:rFonts w:cs="ChaparralPro-Regular"/>
          <w:szCs w:val="24"/>
        </w:rPr>
        <w:t xml:space="preserve"> in which</w:t>
      </w:r>
      <w:r w:rsidR="00BA3271">
        <w:rPr>
          <w:rFonts w:cs="ChaparralPro-Regular"/>
          <w:szCs w:val="24"/>
        </w:rPr>
        <w:t xml:space="preserve"> </w:t>
      </w:r>
      <w:r>
        <w:rPr>
          <w:rFonts w:cs="ChaparralPro-Regular"/>
          <w:szCs w:val="24"/>
        </w:rPr>
        <w:t>assessments of</w:t>
      </w:r>
      <w:r w:rsidR="00BA3271">
        <w:rPr>
          <w:rFonts w:cs="ChaparralPro-Regular"/>
          <w:szCs w:val="24"/>
        </w:rPr>
        <w:t xml:space="preserve"> </w:t>
      </w:r>
      <w:proofErr w:type="spellStart"/>
      <w:r w:rsidR="00BA3271">
        <w:rPr>
          <w:rFonts w:cs="ChaparralPro-Regular"/>
          <w:szCs w:val="24"/>
        </w:rPr>
        <w:t>samesaying</w:t>
      </w:r>
      <w:proofErr w:type="spellEnd"/>
      <w:r w:rsidR="00BA3271">
        <w:rPr>
          <w:rFonts w:cs="ChaparralPro-Regular"/>
          <w:szCs w:val="24"/>
        </w:rPr>
        <w:t xml:space="preserve"> and</w:t>
      </w:r>
      <w:r>
        <w:rPr>
          <w:rFonts w:cs="ChaparralPro-Regular"/>
          <w:szCs w:val="24"/>
        </w:rPr>
        <w:t xml:space="preserve"> conceptual change m</w:t>
      </w:r>
      <w:r w:rsidR="00BA3271">
        <w:rPr>
          <w:rFonts w:cs="ChaparralPro-Regular"/>
          <w:szCs w:val="24"/>
        </w:rPr>
        <w:t>ay</w:t>
      </w:r>
      <w:r>
        <w:rPr>
          <w:rFonts w:cs="ChaparralPro-Regular"/>
          <w:szCs w:val="24"/>
        </w:rPr>
        <w:t xml:space="preserve"> be altered when viewed from the perspective of the engaged</w:t>
      </w:r>
      <w:r w:rsidR="00795C8B">
        <w:rPr>
          <w:rFonts w:cs="ChaparralPro-Regular"/>
          <w:szCs w:val="24"/>
        </w:rPr>
        <w:t xml:space="preserve"> or prospective</w:t>
      </w:r>
      <w:r w:rsidR="002A6A09">
        <w:rPr>
          <w:rFonts w:cs="ChaparralPro-Regular"/>
          <w:szCs w:val="24"/>
        </w:rPr>
        <w:t>, rather than retrospective,</w:t>
      </w:r>
      <w:r>
        <w:rPr>
          <w:rFonts w:cs="ChaparralPro-Regular"/>
          <w:szCs w:val="24"/>
        </w:rPr>
        <w:t xml:space="preserve"> inquirer. </w:t>
      </w:r>
      <w:r w:rsidR="00795C8B">
        <w:rPr>
          <w:rFonts w:cs="ChaparralPro-Regular"/>
          <w:szCs w:val="24"/>
        </w:rPr>
        <w:t>My addendum to</w:t>
      </w:r>
      <w:r w:rsidR="00BA3271">
        <w:rPr>
          <w:rFonts w:cs="ChaparralPro-Regular"/>
          <w:szCs w:val="24"/>
        </w:rPr>
        <w:t xml:space="preserve"> Kuhn’s line of thought here is </w:t>
      </w:r>
      <w:r w:rsidR="002A6A09">
        <w:rPr>
          <w:rFonts w:cs="ChaparralPro-Regular"/>
          <w:szCs w:val="24"/>
        </w:rPr>
        <w:t xml:space="preserve">to bring to the fore </w:t>
      </w:r>
      <w:r w:rsidR="00BA3271">
        <w:rPr>
          <w:rFonts w:cs="ChaparralPro-Regular"/>
          <w:szCs w:val="24"/>
        </w:rPr>
        <w:t xml:space="preserve">that </w:t>
      </w:r>
      <w:r w:rsidR="00904C79">
        <w:rPr>
          <w:rFonts w:cs="ChaparralPro-Regular"/>
          <w:i/>
          <w:szCs w:val="24"/>
        </w:rPr>
        <w:t>both</w:t>
      </w:r>
      <w:r w:rsidR="00904C79">
        <w:rPr>
          <w:rFonts w:cs="ChaparralPro-Regular"/>
          <w:szCs w:val="24"/>
        </w:rPr>
        <w:t xml:space="preserve"> the retrospective</w:t>
      </w:r>
      <w:r w:rsidR="002A6A09">
        <w:rPr>
          <w:rFonts w:cs="ChaparralPro-Regular"/>
          <w:szCs w:val="24"/>
        </w:rPr>
        <w:t xml:space="preserve"> view (and its corresponding </w:t>
      </w:r>
      <w:proofErr w:type="spellStart"/>
      <w:r w:rsidR="002A6A09">
        <w:rPr>
          <w:rFonts w:cs="ChaparralPro-Regular"/>
          <w:szCs w:val="24"/>
        </w:rPr>
        <w:t>internalism</w:t>
      </w:r>
      <w:proofErr w:type="spellEnd"/>
      <w:r w:rsidR="002A6A09">
        <w:rPr>
          <w:rFonts w:cs="ChaparralPro-Regular"/>
          <w:szCs w:val="24"/>
        </w:rPr>
        <w:t xml:space="preserve">) </w:t>
      </w:r>
      <w:r w:rsidR="002A6A09">
        <w:rPr>
          <w:rFonts w:cs="ChaparralPro-Regular"/>
          <w:i/>
          <w:szCs w:val="24"/>
        </w:rPr>
        <w:t xml:space="preserve">and </w:t>
      </w:r>
      <w:r w:rsidR="002A6A09">
        <w:rPr>
          <w:rFonts w:cs="ChaparralPro-Regular"/>
          <w:szCs w:val="24"/>
        </w:rPr>
        <w:t xml:space="preserve">the prospective view (and its corresponding externalism) are </w:t>
      </w:r>
      <w:r w:rsidR="00904C79">
        <w:rPr>
          <w:rFonts w:cs="ChaparralPro-Regular"/>
          <w:szCs w:val="24"/>
        </w:rPr>
        <w:t>perspectives we adopt when engaging linguistically with others. Which perspective we take up will depend on our aims: are we trying to get the linguistic behavior of other speakers right, or are we trying to get the concept/topic we all take one another to be after right? Different perspectives will</w:t>
      </w:r>
      <w:r w:rsidR="00494BA3">
        <w:rPr>
          <w:rFonts w:cs="ChaparralPro-Regular"/>
          <w:szCs w:val="24"/>
        </w:rPr>
        <w:t>, in turn,</w:t>
      </w:r>
      <w:r w:rsidR="00904C79">
        <w:rPr>
          <w:rFonts w:cs="ChaparralPro-Regular"/>
          <w:szCs w:val="24"/>
        </w:rPr>
        <w:t xml:space="preserve"> yield different verdicts on whether we count one another as </w:t>
      </w:r>
      <w:proofErr w:type="spellStart"/>
      <w:r w:rsidR="00904C79">
        <w:rPr>
          <w:rFonts w:cs="ChaparralPro-Regular"/>
          <w:szCs w:val="24"/>
        </w:rPr>
        <w:t>samesaying</w:t>
      </w:r>
      <w:proofErr w:type="spellEnd"/>
      <w:r w:rsidR="00904C79">
        <w:rPr>
          <w:rFonts w:cs="ChaparralPro-Regular"/>
          <w:szCs w:val="24"/>
        </w:rPr>
        <w:t xml:space="preserve"> and therefore on whether we believe that a conceptual change has occurred. It is not that one perspective gets it “right” and another “wrong”</w:t>
      </w:r>
      <w:r w:rsidR="002A6A09">
        <w:rPr>
          <w:rFonts w:cs="ChaparralPro-Regular"/>
          <w:szCs w:val="24"/>
        </w:rPr>
        <w:t xml:space="preserve"> in any particular case</w:t>
      </w:r>
      <w:r w:rsidR="00904C79">
        <w:rPr>
          <w:rFonts w:cs="ChaparralPro-Regular"/>
          <w:szCs w:val="24"/>
        </w:rPr>
        <w:t xml:space="preserve">; they are simply </w:t>
      </w:r>
      <w:r w:rsidR="005D484E">
        <w:rPr>
          <w:rFonts w:cs="ChaparralPro-Regular"/>
          <w:szCs w:val="24"/>
        </w:rPr>
        <w:t>different</w:t>
      </w:r>
      <w:r w:rsidR="00A4747C">
        <w:rPr>
          <w:rFonts w:cs="ChaparralPro-Regular"/>
          <w:szCs w:val="24"/>
        </w:rPr>
        <w:t xml:space="preserve"> perspectives with different aims that, in turn, generate different verdicts </w:t>
      </w:r>
      <w:r w:rsidR="002A6A09">
        <w:rPr>
          <w:rFonts w:cs="ChaparralPro-Regular"/>
          <w:szCs w:val="24"/>
        </w:rPr>
        <w:t xml:space="preserve">on </w:t>
      </w:r>
      <w:proofErr w:type="spellStart"/>
      <w:r w:rsidR="002A6A09">
        <w:rPr>
          <w:rFonts w:cs="ChaparralPro-Regular"/>
          <w:szCs w:val="24"/>
        </w:rPr>
        <w:t>samesaying</w:t>
      </w:r>
      <w:proofErr w:type="spellEnd"/>
      <w:r w:rsidR="002A6A09">
        <w:rPr>
          <w:rFonts w:cs="ChaparralPro-Regular"/>
          <w:szCs w:val="24"/>
        </w:rPr>
        <w:t xml:space="preserve"> and conceptual change</w:t>
      </w:r>
      <w:r w:rsidR="005D484E">
        <w:rPr>
          <w:rFonts w:cs="ChaparralPro-Regular"/>
          <w:szCs w:val="24"/>
        </w:rPr>
        <w:t>.</w:t>
      </w:r>
      <w:r w:rsidR="00875DB9">
        <w:rPr>
          <w:rStyle w:val="FootnoteReference"/>
          <w:rFonts w:cs="ChaparralPro-Regular"/>
          <w:szCs w:val="24"/>
        </w:rPr>
        <w:footnoteReference w:id="13"/>
      </w:r>
    </w:p>
    <w:p w14:paraId="4E78913E" w14:textId="77777777" w:rsidR="002A6A09" w:rsidRPr="00D97D8E" w:rsidRDefault="00904C79" w:rsidP="00D97D8E">
      <w:pPr>
        <w:ind w:firstLine="720"/>
      </w:pPr>
      <w:r>
        <w:rPr>
          <w:rFonts w:cs="ChaparralPro-Regular"/>
          <w:szCs w:val="24"/>
        </w:rPr>
        <w:t xml:space="preserve">Kuhn misses the </w:t>
      </w:r>
      <w:r w:rsidR="002A6A09">
        <w:rPr>
          <w:rFonts w:cs="ChaparralPro-Regular"/>
          <w:szCs w:val="24"/>
        </w:rPr>
        <w:t>importance</w:t>
      </w:r>
      <w:r>
        <w:rPr>
          <w:rFonts w:cs="ChaparralPro-Regular"/>
          <w:szCs w:val="24"/>
        </w:rPr>
        <w:t xml:space="preserve"> of </w:t>
      </w:r>
      <w:r w:rsidR="002A6A09">
        <w:rPr>
          <w:rFonts w:cs="ChaparralPro-Regular"/>
          <w:szCs w:val="24"/>
        </w:rPr>
        <w:t xml:space="preserve">the prospective </w:t>
      </w:r>
      <w:proofErr w:type="spellStart"/>
      <w:r w:rsidR="002A6A09">
        <w:rPr>
          <w:rFonts w:cs="ChaparralPro-Regular"/>
          <w:szCs w:val="24"/>
        </w:rPr>
        <w:t>extenalist</w:t>
      </w:r>
      <w:proofErr w:type="spellEnd"/>
      <w:r w:rsidR="002A6A09">
        <w:rPr>
          <w:rFonts w:cs="ChaparralPro-Regular"/>
          <w:szCs w:val="24"/>
        </w:rPr>
        <w:t xml:space="preserve"> perspective</w:t>
      </w:r>
      <w:r w:rsidR="005D484E">
        <w:rPr>
          <w:rFonts w:cs="ChaparralPro-Regular"/>
          <w:szCs w:val="24"/>
        </w:rPr>
        <w:t xml:space="preserve"> because he </w:t>
      </w:r>
      <w:r w:rsidR="002A6A09">
        <w:rPr>
          <w:rFonts w:cs="ChaparralPro-Regular"/>
          <w:szCs w:val="24"/>
        </w:rPr>
        <w:t xml:space="preserve">is </w:t>
      </w:r>
      <w:r w:rsidR="00EB0CC2">
        <w:rPr>
          <w:rFonts w:cs="ChaparralPro-Regular"/>
          <w:szCs w:val="24"/>
        </w:rPr>
        <w:t>preoccupied with</w:t>
      </w:r>
      <w:r w:rsidR="002A6A09">
        <w:rPr>
          <w:rFonts w:cs="ChaparralPro-Regular"/>
          <w:szCs w:val="24"/>
        </w:rPr>
        <w:t xml:space="preserve"> the curious process of how seemingly nonsensical texts and linguistic behavior nonetheless become intelligible to us. </w:t>
      </w:r>
      <w:r w:rsidR="005D484E">
        <w:rPr>
          <w:rFonts w:cs="ChaparralPro-Regular"/>
          <w:szCs w:val="24"/>
        </w:rPr>
        <w:t xml:space="preserve">Philosophers like </w:t>
      </w:r>
      <w:proofErr w:type="spellStart"/>
      <w:r w:rsidR="005D484E">
        <w:rPr>
          <w:rFonts w:cs="ChaparralPro-Regular"/>
          <w:szCs w:val="24"/>
        </w:rPr>
        <w:t>Cappelen</w:t>
      </w:r>
      <w:proofErr w:type="spellEnd"/>
      <w:r w:rsidR="005D484E">
        <w:rPr>
          <w:rFonts w:cs="ChaparralPro-Regular"/>
          <w:szCs w:val="24"/>
        </w:rPr>
        <w:t xml:space="preserve"> and Sawyer</w:t>
      </w:r>
      <w:r w:rsidR="002A6A09">
        <w:rPr>
          <w:rFonts w:cs="ChaparralPro-Regular"/>
          <w:szCs w:val="24"/>
        </w:rPr>
        <w:t>, by contrast,</w:t>
      </w:r>
      <w:r w:rsidR="005D484E">
        <w:rPr>
          <w:rFonts w:cs="ChaparralPro-Regular"/>
          <w:szCs w:val="24"/>
        </w:rPr>
        <w:t xml:space="preserve"> </w:t>
      </w:r>
      <w:r w:rsidR="002A6A09">
        <w:rPr>
          <w:rFonts w:cs="ChaparralPro-Regular"/>
          <w:szCs w:val="24"/>
        </w:rPr>
        <w:t>are preoccupied with exorcizing the specter of “</w:t>
      </w:r>
      <w:r w:rsidR="002A6A09">
        <w:t xml:space="preserve">widespread linguistic and conceptual relativism” and therefore turn their attention to </w:t>
      </w:r>
      <w:r w:rsidR="00185186">
        <w:t>vindicating</w:t>
      </w:r>
      <w:r w:rsidR="002A6A09">
        <w:t xml:space="preserve"> speakers</w:t>
      </w:r>
      <w:r w:rsidR="00185186">
        <w:t>’</w:t>
      </w:r>
      <w:r w:rsidR="002A6A09">
        <w:t xml:space="preserve"> </w:t>
      </w:r>
      <w:r w:rsidR="00185186">
        <w:t>judgments</w:t>
      </w:r>
      <w:r w:rsidR="00A30993">
        <w:t xml:space="preserve"> in the midst of an ongoing disagreement</w:t>
      </w:r>
      <w:r w:rsidR="00185186">
        <w:t xml:space="preserve"> that they are </w:t>
      </w:r>
      <w:proofErr w:type="spellStart"/>
      <w:r w:rsidR="00185186">
        <w:t>samesaying</w:t>
      </w:r>
      <w:proofErr w:type="spellEnd"/>
      <w:r w:rsidR="00185186">
        <w:t xml:space="preserve"> with one another</w:t>
      </w:r>
      <w:r w:rsidR="002A6A09">
        <w:t xml:space="preserve"> across </w:t>
      </w:r>
      <w:r w:rsidR="00BF719C">
        <w:t>disparate</w:t>
      </w:r>
      <w:r w:rsidR="002A6A09">
        <w:t xml:space="preserve"> understandings. My position in this paper is that both groups of philosophers get something importantly right here, but </w:t>
      </w:r>
      <w:r w:rsidR="00185186">
        <w:t>also</w:t>
      </w:r>
      <w:r w:rsidR="002A6A09">
        <w:t xml:space="preserve"> move too quickly to extrapolating their </w:t>
      </w:r>
      <w:proofErr w:type="spellStart"/>
      <w:r w:rsidR="002A6A09">
        <w:t>metasemantic</w:t>
      </w:r>
      <w:proofErr w:type="spellEnd"/>
      <w:r w:rsidR="002A6A09">
        <w:t xml:space="preserve"> conclusions. We adopt various perspectives on our linguistic engagement with others, and these perspectives alter our judgments about </w:t>
      </w:r>
      <w:r w:rsidR="009D5C7A">
        <w:t xml:space="preserve">the nature of </w:t>
      </w:r>
      <w:r w:rsidR="002A6A09">
        <w:t>this linguistic behavior. Wit</w:t>
      </w:r>
      <w:r w:rsidR="00EB0CC2">
        <w:t>hout a thorough account of these</w:t>
      </w:r>
      <w:r w:rsidR="002A6A09">
        <w:t xml:space="preserve"> perspective</w:t>
      </w:r>
      <w:r w:rsidR="00EB0CC2">
        <w:t>s</w:t>
      </w:r>
      <w:r w:rsidR="002A6A09">
        <w:t xml:space="preserve"> and their attendan</w:t>
      </w:r>
      <w:r w:rsidR="00EB0CC2">
        <w:t>t</w:t>
      </w:r>
      <w:r w:rsidR="002A6A09">
        <w:t xml:space="preserve"> practices, our </w:t>
      </w:r>
      <w:proofErr w:type="spellStart"/>
      <w:r w:rsidR="002A6A09">
        <w:t>metasemantics</w:t>
      </w:r>
      <w:proofErr w:type="spellEnd"/>
      <w:r w:rsidR="002A6A09">
        <w:t xml:space="preserve"> </w:t>
      </w:r>
      <w:r w:rsidR="00EB0CC2">
        <w:t>end up skewed. W</w:t>
      </w:r>
      <w:r w:rsidR="002A6A09">
        <w:t>e risk</w:t>
      </w:r>
      <w:r w:rsidR="00EB0CC2">
        <w:t>, for example,</w:t>
      </w:r>
      <w:r w:rsidR="002A6A09">
        <w:t xml:space="preserve"> hyposta</w:t>
      </w:r>
      <w:r w:rsidR="00EB0CC2">
        <w:t xml:space="preserve">tizing and </w:t>
      </w:r>
      <w:r w:rsidR="00EB0CC2">
        <w:lastRenderedPageBreak/>
        <w:t xml:space="preserve">inflating our </w:t>
      </w:r>
      <w:proofErr w:type="spellStart"/>
      <w:r w:rsidR="00EB0CC2">
        <w:t>metasemantic</w:t>
      </w:r>
      <w:proofErr w:type="spellEnd"/>
      <w:r w:rsidR="00EB0CC2">
        <w:t xml:space="preserve"> categories, claiming that there are such things as “topics” and “concepts” in the world that </w:t>
      </w:r>
      <w:r w:rsidR="00EF2D3B">
        <w:t xml:space="preserve">can </w:t>
      </w:r>
      <w:r w:rsidR="00EB0CC2">
        <w:t xml:space="preserve">vindicate judgments of </w:t>
      </w:r>
      <w:proofErr w:type="spellStart"/>
      <w:r w:rsidR="00EB0CC2">
        <w:t>samesaying</w:t>
      </w:r>
      <w:proofErr w:type="spellEnd"/>
      <w:r w:rsidR="00EB0CC2">
        <w:t xml:space="preserve"> and conceptual change one way or the other. </w:t>
      </w:r>
      <w:r w:rsidR="000A042D">
        <w:t xml:space="preserve">The perspective-based approach I have argued for in this paper </w:t>
      </w:r>
      <w:r w:rsidR="009D5C7A">
        <w:t>bypasses these</w:t>
      </w:r>
      <w:r w:rsidR="00D97D8E">
        <w:t xml:space="preserve"> risks, fully grounding our account of </w:t>
      </w:r>
      <w:proofErr w:type="spellStart"/>
      <w:r w:rsidR="00D97D8E">
        <w:t>samesaying</w:t>
      </w:r>
      <w:proofErr w:type="spellEnd"/>
      <w:r w:rsidR="00D97D8E">
        <w:t xml:space="preserve"> and conceptual change in the linguistic perspectives and practices speakers adopt. </w:t>
      </w:r>
      <w:r w:rsidR="00D16B8E">
        <w:t>This</w:t>
      </w:r>
      <w:r w:rsidR="00D97D8E">
        <w:t xml:space="preserve"> approach also </w:t>
      </w:r>
      <w:r w:rsidR="000A042D">
        <w:t xml:space="preserve">escapes </w:t>
      </w:r>
      <w:r w:rsidR="00D97D8E">
        <w:t>any</w:t>
      </w:r>
      <w:r w:rsidR="000A042D">
        <w:t xml:space="preserve"> charge of explanatory vacuity</w:t>
      </w:r>
      <w:r w:rsidR="00EF2D3B">
        <w:t>. I</w:t>
      </w:r>
      <w:r w:rsidR="000A042D">
        <w:t>t explains exactly</w:t>
      </w:r>
      <w:r w:rsidR="00161504">
        <w:t xml:space="preserve"> how it is that we come to make</w:t>
      </w:r>
      <w:r w:rsidR="000A042D">
        <w:t xml:space="preserve"> these judgments concerning </w:t>
      </w:r>
      <w:proofErr w:type="spellStart"/>
      <w:r w:rsidR="000A042D">
        <w:t>samesaying</w:t>
      </w:r>
      <w:proofErr w:type="spellEnd"/>
      <w:r w:rsidR="000A042D">
        <w:t xml:space="preserve"> and conceptual change and shows why such judgments, </w:t>
      </w:r>
      <w:r w:rsidR="00161504">
        <w:t>even when they conflict</w:t>
      </w:r>
      <w:r w:rsidR="000A042D">
        <w:t xml:space="preserve">, can </w:t>
      </w:r>
      <w:r w:rsidR="00161504">
        <w:t>all</w:t>
      </w:r>
      <w:r w:rsidR="000A042D">
        <w:t xml:space="preserve"> be equally justified as long as we keep in mind the different perspectives of </w:t>
      </w:r>
      <w:r w:rsidR="00161504">
        <w:t xml:space="preserve">the </w:t>
      </w:r>
      <w:r w:rsidR="000A042D">
        <w:t>speakers making them.</w:t>
      </w:r>
      <w:r w:rsidR="00D97D8E">
        <w:t xml:space="preserve"> </w:t>
      </w:r>
    </w:p>
    <w:p w14:paraId="0268C42E" w14:textId="77777777" w:rsidR="0012122B" w:rsidRDefault="0012122B" w:rsidP="006B1892">
      <w:pPr>
        <w:rPr>
          <w:szCs w:val="24"/>
        </w:rPr>
      </w:pPr>
    </w:p>
    <w:p w14:paraId="083AC539" w14:textId="77777777" w:rsidR="00527362" w:rsidRPr="00F64478" w:rsidRDefault="00F64478" w:rsidP="00F64478">
      <w:pPr>
        <w:pStyle w:val="ListParagraph"/>
        <w:numPr>
          <w:ilvl w:val="0"/>
          <w:numId w:val="2"/>
        </w:numPr>
        <w:rPr>
          <w:b/>
          <w:i/>
          <w:szCs w:val="24"/>
        </w:rPr>
      </w:pPr>
      <w:r>
        <w:rPr>
          <w:b/>
          <w:i/>
          <w:szCs w:val="24"/>
        </w:rPr>
        <w:t>The Two Perspectives On Display</w:t>
      </w:r>
    </w:p>
    <w:p w14:paraId="51ACCB23" w14:textId="77777777" w:rsidR="00F64478" w:rsidRDefault="00F64478" w:rsidP="006B1892">
      <w:pPr>
        <w:rPr>
          <w:szCs w:val="24"/>
        </w:rPr>
      </w:pPr>
    </w:p>
    <w:p w14:paraId="6CF9EDB9" w14:textId="77777777" w:rsidR="00795C8B" w:rsidRDefault="00B36D6A" w:rsidP="006B1892">
      <w:pPr>
        <w:rPr>
          <w:szCs w:val="24"/>
        </w:rPr>
      </w:pPr>
      <w:r>
        <w:rPr>
          <w:szCs w:val="24"/>
        </w:rPr>
        <w:tab/>
      </w:r>
      <w:r w:rsidR="00D16B8E">
        <w:rPr>
          <w:szCs w:val="24"/>
        </w:rPr>
        <w:t xml:space="preserve">To further illustrate the explanatory power of </w:t>
      </w:r>
      <w:r w:rsidR="00D272C0">
        <w:rPr>
          <w:szCs w:val="24"/>
        </w:rPr>
        <w:t>my</w:t>
      </w:r>
      <w:r w:rsidR="00D16B8E">
        <w:rPr>
          <w:szCs w:val="24"/>
        </w:rPr>
        <w:t xml:space="preserve"> perspective-based account, </w:t>
      </w:r>
      <w:r>
        <w:rPr>
          <w:szCs w:val="24"/>
        </w:rPr>
        <w:t xml:space="preserve">I want to turn now to two cases </w:t>
      </w:r>
      <w:r w:rsidR="00874B0B">
        <w:rPr>
          <w:szCs w:val="24"/>
        </w:rPr>
        <w:t xml:space="preserve">that will allow us to </w:t>
      </w:r>
      <w:r w:rsidR="00F221FC">
        <w:rPr>
          <w:szCs w:val="24"/>
        </w:rPr>
        <w:t>consider</w:t>
      </w:r>
      <w:r w:rsidR="00874B0B">
        <w:rPr>
          <w:szCs w:val="24"/>
        </w:rPr>
        <w:t xml:space="preserve"> how</w:t>
      </w:r>
      <w:r>
        <w:rPr>
          <w:szCs w:val="24"/>
        </w:rPr>
        <w:t xml:space="preserve"> </w:t>
      </w:r>
      <w:r w:rsidR="00874B0B">
        <w:rPr>
          <w:szCs w:val="24"/>
        </w:rPr>
        <w:t>the</w:t>
      </w:r>
      <w:r>
        <w:rPr>
          <w:szCs w:val="24"/>
        </w:rPr>
        <w:t xml:space="preserve"> two perspectives on </w:t>
      </w:r>
      <w:proofErr w:type="spellStart"/>
      <w:r>
        <w:rPr>
          <w:szCs w:val="24"/>
        </w:rPr>
        <w:t>samesaying</w:t>
      </w:r>
      <w:proofErr w:type="spellEnd"/>
      <w:r>
        <w:rPr>
          <w:szCs w:val="24"/>
        </w:rPr>
        <w:t xml:space="preserve"> I have elaborated in this paper play out with respect to the same case. </w:t>
      </w:r>
    </w:p>
    <w:p w14:paraId="4B21B1F7" w14:textId="77777777" w:rsidR="00A96BC9" w:rsidRDefault="00A96BC9" w:rsidP="006B1892">
      <w:pPr>
        <w:rPr>
          <w:szCs w:val="24"/>
        </w:rPr>
      </w:pPr>
    </w:p>
    <w:p w14:paraId="66B52FF6" w14:textId="77777777" w:rsidR="00795C8B" w:rsidRPr="00A90BE2" w:rsidRDefault="00795C8B" w:rsidP="00A90BE2">
      <w:pPr>
        <w:ind w:firstLine="720"/>
        <w:rPr>
          <w:szCs w:val="24"/>
        </w:rPr>
      </w:pPr>
      <w:r w:rsidRPr="00A90BE2">
        <w:rPr>
          <w:i/>
          <w:szCs w:val="24"/>
        </w:rPr>
        <w:t>Case 1: ‘Marriage’ in perspective</w:t>
      </w:r>
    </w:p>
    <w:p w14:paraId="4FFDEB66" w14:textId="77777777" w:rsidR="00795C8B" w:rsidRDefault="00795C8B" w:rsidP="006B1892">
      <w:pPr>
        <w:rPr>
          <w:szCs w:val="24"/>
        </w:rPr>
      </w:pPr>
    </w:p>
    <w:p w14:paraId="5B3C8BA2" w14:textId="77777777" w:rsidR="006B1892" w:rsidRDefault="00B36D6A" w:rsidP="00795C8B">
      <w:pPr>
        <w:ind w:firstLine="720"/>
        <w:rPr>
          <w:szCs w:val="24"/>
        </w:rPr>
      </w:pPr>
      <w:r>
        <w:rPr>
          <w:szCs w:val="24"/>
        </w:rPr>
        <w:t xml:space="preserve">The first case I will consider involves the following </w:t>
      </w:r>
      <w:r w:rsidR="00691F00">
        <w:rPr>
          <w:szCs w:val="24"/>
        </w:rPr>
        <w:t>scenario</w:t>
      </w:r>
      <w:r>
        <w:rPr>
          <w:szCs w:val="24"/>
        </w:rPr>
        <w:t xml:space="preserve">: </w:t>
      </w:r>
      <w:r w:rsidR="006B1892">
        <w:rPr>
          <w:szCs w:val="24"/>
        </w:rPr>
        <w:t>a historian lives in a future society where ‘marriage’</w:t>
      </w:r>
      <w:r w:rsidR="006B1892">
        <w:rPr>
          <w:sz w:val="18"/>
          <w:szCs w:val="18"/>
        </w:rPr>
        <w:t xml:space="preserve"> </w:t>
      </w:r>
      <w:r w:rsidR="006B1892">
        <w:rPr>
          <w:szCs w:val="24"/>
        </w:rPr>
        <w:t>is understood as a unique and public romantic commitment that individuals undertake. Our historian is attempting to understand the cultural and political debates in the late twentieth-century and early twenty-first century United States.</w:t>
      </w:r>
      <w:r w:rsidR="00D347A6">
        <w:rPr>
          <w:rStyle w:val="FootnoteReference"/>
          <w:szCs w:val="24"/>
        </w:rPr>
        <w:footnoteReference w:id="14"/>
      </w:r>
      <w:r w:rsidR="006B1892">
        <w:rPr>
          <w:szCs w:val="24"/>
        </w:rPr>
        <w:t xml:space="preserve"> Our historian encounters the debate over so-called ‘gay marriage’ and is deeply puzzled. On the one hand, proponents of gay marriage seem to make sense of marriage in ways that are very similar to the historian’s own understanding of the concept: it is an institution that reflects a unique and public romantic commitment that individuals undertake. But, at the same time, our historian is confused why anyone would bother to utter such trivial truths.</w:t>
      </w:r>
    </w:p>
    <w:p w14:paraId="3CC5AF0D" w14:textId="77777777" w:rsidR="006B1892" w:rsidRDefault="006B1892" w:rsidP="006B1892">
      <w:pPr>
        <w:ind w:firstLine="720"/>
        <w:rPr>
          <w:szCs w:val="24"/>
        </w:rPr>
      </w:pPr>
      <w:r>
        <w:rPr>
          <w:szCs w:val="24"/>
        </w:rPr>
        <w:t>On the other hand, the claims and utterances of opponents of gay marriage make even less sense to our historian. They claim that the concept of marriage entails that only certain individuals can count as married. They generally hold this view, they s</w:t>
      </w:r>
      <w:r w:rsidR="00691F00">
        <w:rPr>
          <w:szCs w:val="24"/>
        </w:rPr>
        <w:t>ay, because what they call the “purpose”</w:t>
      </w:r>
      <w:r>
        <w:rPr>
          <w:szCs w:val="24"/>
        </w:rPr>
        <w:t xml:space="preserve"> of marriage is procreation. But our historian remains per</w:t>
      </w:r>
      <w:r w:rsidR="00AD5717">
        <w:rPr>
          <w:szCs w:val="24"/>
        </w:rPr>
        <w:t xml:space="preserve">plexed because the opponent of gay marriage </w:t>
      </w:r>
      <w:r>
        <w:rPr>
          <w:szCs w:val="24"/>
        </w:rPr>
        <w:t>does not believe the inability to procreate precludes everyone from counting as married; this inability is taken to exclude only</w:t>
      </w:r>
      <w:r w:rsidR="00DE3BFF">
        <w:rPr>
          <w:szCs w:val="24"/>
        </w:rPr>
        <w:t xml:space="preserve"> so-called</w:t>
      </w:r>
      <w:r>
        <w:rPr>
          <w:szCs w:val="24"/>
        </w:rPr>
        <w:t xml:space="preserve"> </w:t>
      </w:r>
      <w:r w:rsidR="00DE3BFF">
        <w:rPr>
          <w:szCs w:val="24"/>
        </w:rPr>
        <w:t>“</w:t>
      </w:r>
      <w:r w:rsidR="00795C8B">
        <w:rPr>
          <w:szCs w:val="24"/>
        </w:rPr>
        <w:t>same-sex</w:t>
      </w:r>
      <w:r w:rsidR="00DE3BFF">
        <w:rPr>
          <w:szCs w:val="24"/>
        </w:rPr>
        <w:t>”</w:t>
      </w:r>
      <w:r w:rsidR="00795C8B">
        <w:rPr>
          <w:szCs w:val="24"/>
        </w:rPr>
        <w:t xml:space="preserve"> marriages</w:t>
      </w:r>
      <w:r>
        <w:rPr>
          <w:szCs w:val="24"/>
        </w:rPr>
        <w:t xml:space="preserve">. To try and make sense of this linguistic behavior, our historian examines this group’s other commitments: the historian notices that they tend to have a specific religious background and that, seemingly as a result of their religious commitments, they believe that there is something morally problematic about romantic relationships between </w:t>
      </w:r>
      <w:r w:rsidR="00711F99">
        <w:rPr>
          <w:szCs w:val="24"/>
        </w:rPr>
        <w:t>same-sex individuals</w:t>
      </w:r>
      <w:r>
        <w:rPr>
          <w:szCs w:val="24"/>
        </w:rPr>
        <w:t xml:space="preserve"> and something morally important about romantic relationships that they take not to fit this description.</w:t>
      </w:r>
    </w:p>
    <w:p w14:paraId="06D96077" w14:textId="77777777" w:rsidR="006B1892" w:rsidRDefault="006B1892" w:rsidP="006B1892">
      <w:pPr>
        <w:ind w:firstLine="720"/>
        <w:rPr>
          <w:szCs w:val="24"/>
        </w:rPr>
      </w:pPr>
      <w:r>
        <w:rPr>
          <w:szCs w:val="24"/>
        </w:rPr>
        <w:t xml:space="preserve">Our historian therefore carries out extensive research into these religious commitments and how these commitments inform individuals’ views about the morality of romantic and sexual practices. They also carry out extensive research into making sense of how the concepts of gender, sex, and sexual orientation are understood by these same individuals. After doing so, our historian realizes how to make sense of what ‘marriage’ means for this group: this group understands the </w:t>
      </w:r>
      <w:r>
        <w:rPr>
          <w:szCs w:val="24"/>
        </w:rPr>
        <w:lastRenderedPageBreak/>
        <w:t>concept of marriage in the context of a religious worldv</w:t>
      </w:r>
      <w:r w:rsidR="00B6267A">
        <w:rPr>
          <w:szCs w:val="24"/>
        </w:rPr>
        <w:t>iew that treats what they call “gay”</w:t>
      </w:r>
      <w:r>
        <w:rPr>
          <w:szCs w:val="24"/>
        </w:rPr>
        <w:t xml:space="preserve"> romantic relationships as morally inferior. Based on these observations, our historian suggests that in order to understand what ‘marriage’ as a term means at this historical moment, we need to appreciate that there are at least two different concepts at stake when this term is used. This difference in concepts, however, is masked by the fact that both groups use the same word strings to express these different concepts. Our historian suggests we call these two different concepts </w:t>
      </w:r>
      <w:proofErr w:type="spellStart"/>
      <w:r w:rsidRPr="00447689">
        <w:rPr>
          <w:sz w:val="18"/>
          <w:szCs w:val="18"/>
        </w:rPr>
        <w:t>MARRIAGE</w:t>
      </w:r>
      <w:r>
        <w:rPr>
          <w:szCs w:val="24"/>
          <w:vertAlign w:val="subscript"/>
        </w:rPr>
        <w:t>romantic</w:t>
      </w:r>
      <w:proofErr w:type="spellEnd"/>
      <w:r>
        <w:rPr>
          <w:szCs w:val="24"/>
        </w:rPr>
        <w:t xml:space="preserve"> and </w:t>
      </w:r>
      <w:proofErr w:type="spellStart"/>
      <w:r>
        <w:rPr>
          <w:sz w:val="18"/>
          <w:szCs w:val="18"/>
        </w:rPr>
        <w:t>MARRIAGE</w:t>
      </w:r>
      <w:r>
        <w:rPr>
          <w:sz w:val="18"/>
          <w:szCs w:val="18"/>
          <w:vertAlign w:val="subscript"/>
        </w:rPr>
        <w:t>religious</w:t>
      </w:r>
      <w:proofErr w:type="spellEnd"/>
      <w:r>
        <w:rPr>
          <w:szCs w:val="24"/>
        </w:rPr>
        <w:t xml:space="preserve">. Our historian explains that if we take the term ‘marriage’ when used by opponents of gay marriage to express the concept </w:t>
      </w:r>
      <w:proofErr w:type="spellStart"/>
      <w:r w:rsidRPr="00447689">
        <w:rPr>
          <w:sz w:val="18"/>
          <w:szCs w:val="18"/>
        </w:rPr>
        <w:t>MARRIAGE</w:t>
      </w:r>
      <w:r>
        <w:rPr>
          <w:szCs w:val="24"/>
          <w:vertAlign w:val="subscript"/>
        </w:rPr>
        <w:t>romantic</w:t>
      </w:r>
      <w:proofErr w:type="spellEnd"/>
      <w:r>
        <w:rPr>
          <w:szCs w:val="24"/>
        </w:rPr>
        <w:t xml:space="preserve">, their linguistic behavior will show up to us as </w:t>
      </w:r>
      <w:r w:rsidR="00DE3BFF">
        <w:rPr>
          <w:szCs w:val="24"/>
        </w:rPr>
        <w:t>mystifying</w:t>
      </w:r>
      <w:r>
        <w:rPr>
          <w:szCs w:val="24"/>
        </w:rPr>
        <w:t xml:space="preserve">, but once we understand that when they use the term ‘marriage’ they are using it to express </w:t>
      </w:r>
      <w:proofErr w:type="spellStart"/>
      <w:r>
        <w:rPr>
          <w:sz w:val="18"/>
          <w:szCs w:val="18"/>
        </w:rPr>
        <w:t>MARRIAGE</w:t>
      </w:r>
      <w:r>
        <w:rPr>
          <w:sz w:val="18"/>
          <w:szCs w:val="18"/>
          <w:vertAlign w:val="subscript"/>
        </w:rPr>
        <w:t>religious</w:t>
      </w:r>
      <w:proofErr w:type="spellEnd"/>
      <w:r>
        <w:rPr>
          <w:szCs w:val="24"/>
        </w:rPr>
        <w:t xml:space="preserve">, their linguistic activity becomes intelligible. Our historian takes these clear failures of translation to be the mark of an important conceptual change: </w:t>
      </w:r>
      <w:proofErr w:type="spellStart"/>
      <w:r>
        <w:rPr>
          <w:sz w:val="18"/>
          <w:szCs w:val="18"/>
        </w:rPr>
        <w:t>MARRIAGE</w:t>
      </w:r>
      <w:r>
        <w:rPr>
          <w:sz w:val="18"/>
          <w:szCs w:val="18"/>
          <w:vertAlign w:val="subscript"/>
        </w:rPr>
        <w:t>religious</w:t>
      </w:r>
      <w:proofErr w:type="spellEnd"/>
      <w:r>
        <w:rPr>
          <w:sz w:val="18"/>
          <w:szCs w:val="18"/>
        </w:rPr>
        <w:t xml:space="preserve"> </w:t>
      </w:r>
      <w:r>
        <w:rPr>
          <w:szCs w:val="24"/>
        </w:rPr>
        <w:t xml:space="preserve">reflects the dominant understanding of the concept of marriage for many years, but this understanding is subsequently changed to </w:t>
      </w:r>
      <w:proofErr w:type="spellStart"/>
      <w:r w:rsidRPr="00447689">
        <w:rPr>
          <w:sz w:val="18"/>
          <w:szCs w:val="18"/>
        </w:rPr>
        <w:t>MARRIAGE</w:t>
      </w:r>
      <w:r>
        <w:rPr>
          <w:szCs w:val="24"/>
          <w:vertAlign w:val="subscript"/>
        </w:rPr>
        <w:t>romantic</w:t>
      </w:r>
      <w:proofErr w:type="spellEnd"/>
      <w:r>
        <w:rPr>
          <w:szCs w:val="24"/>
        </w:rPr>
        <w:t>. We can therefore say that a conceptual change has occurred.</w:t>
      </w:r>
    </w:p>
    <w:p w14:paraId="5C56676E" w14:textId="77777777" w:rsidR="001D0A75" w:rsidRDefault="00691F00" w:rsidP="000E3B16">
      <w:pPr>
        <w:ind w:firstLine="720"/>
      </w:pPr>
      <w:r>
        <w:rPr>
          <w:szCs w:val="24"/>
        </w:rPr>
        <w:t xml:space="preserve">Our historian here is adopting a retrospective internalist perspective. </w:t>
      </w:r>
      <w:r w:rsidR="00B6267A">
        <w:rPr>
          <w:szCs w:val="24"/>
        </w:rPr>
        <w:t>To render the</w:t>
      </w:r>
      <w:r w:rsidR="00B20CC4">
        <w:rPr>
          <w:szCs w:val="24"/>
        </w:rPr>
        <w:t xml:space="preserve"> </w:t>
      </w:r>
      <w:r w:rsidR="0024553C">
        <w:rPr>
          <w:szCs w:val="24"/>
        </w:rPr>
        <w:t>perplexing</w:t>
      </w:r>
      <w:r w:rsidR="00B6267A">
        <w:rPr>
          <w:szCs w:val="24"/>
        </w:rPr>
        <w:t xml:space="preserve"> linguistic behavior of distant speakers intelligible, the historian </w:t>
      </w:r>
      <w:r w:rsidR="007D692C">
        <w:rPr>
          <w:szCs w:val="24"/>
        </w:rPr>
        <w:t>posits</w:t>
      </w:r>
      <w:r w:rsidR="00B6267A">
        <w:rPr>
          <w:szCs w:val="24"/>
        </w:rPr>
        <w:t xml:space="preserve"> an</w:t>
      </w:r>
      <w:r w:rsidR="00585B99">
        <w:rPr>
          <w:szCs w:val="24"/>
        </w:rPr>
        <w:t xml:space="preserve"> underlying concept or set of concepts that</w:t>
      </w:r>
      <w:r w:rsidR="00E029B6">
        <w:rPr>
          <w:szCs w:val="24"/>
        </w:rPr>
        <w:t xml:space="preserve"> speaker</w:t>
      </w:r>
      <w:r w:rsidR="0016627D">
        <w:rPr>
          <w:szCs w:val="24"/>
        </w:rPr>
        <w:t>s</w:t>
      </w:r>
      <w:r w:rsidR="00E029B6">
        <w:rPr>
          <w:szCs w:val="24"/>
        </w:rPr>
        <w:t xml:space="preserve"> </w:t>
      </w:r>
      <w:r w:rsidR="00D534F7">
        <w:rPr>
          <w:szCs w:val="24"/>
        </w:rPr>
        <w:t>are</w:t>
      </w:r>
      <w:r w:rsidR="00E029B6">
        <w:rPr>
          <w:szCs w:val="24"/>
        </w:rPr>
        <w:t xml:space="preserve"> utilizing that are</w:t>
      </w:r>
      <w:r w:rsidR="00585B99">
        <w:rPr>
          <w:szCs w:val="24"/>
        </w:rPr>
        <w:t xml:space="preserve"> importantly differ</w:t>
      </w:r>
      <w:r w:rsidR="00DE3BFF">
        <w:rPr>
          <w:szCs w:val="24"/>
        </w:rPr>
        <w:t>ent</w:t>
      </w:r>
      <w:r w:rsidR="00585B99">
        <w:rPr>
          <w:szCs w:val="24"/>
        </w:rPr>
        <w:t xml:space="preserve"> from </w:t>
      </w:r>
      <w:r w:rsidR="003C4A01">
        <w:rPr>
          <w:szCs w:val="24"/>
        </w:rPr>
        <w:t>their</w:t>
      </w:r>
      <w:r w:rsidR="00585B99">
        <w:rPr>
          <w:szCs w:val="24"/>
        </w:rPr>
        <w:t xml:space="preserve"> own. These concepts are linked to a </w:t>
      </w:r>
      <w:r w:rsidR="0016627D">
        <w:rPr>
          <w:szCs w:val="24"/>
        </w:rPr>
        <w:t xml:space="preserve">core, </w:t>
      </w:r>
      <w:r w:rsidR="00585B99">
        <w:rPr>
          <w:szCs w:val="24"/>
        </w:rPr>
        <w:t>determinate content that, in turn, explain</w:t>
      </w:r>
      <w:r w:rsidR="0016627D">
        <w:rPr>
          <w:szCs w:val="24"/>
        </w:rPr>
        <w:t>s</w:t>
      </w:r>
      <w:r w:rsidR="00585B99">
        <w:rPr>
          <w:szCs w:val="24"/>
        </w:rPr>
        <w:t xml:space="preserve"> the</w:t>
      </w:r>
      <w:r w:rsidR="00E029B6">
        <w:rPr>
          <w:szCs w:val="24"/>
        </w:rPr>
        <w:t xml:space="preserve"> </w:t>
      </w:r>
      <w:r w:rsidR="00585B99">
        <w:rPr>
          <w:szCs w:val="24"/>
        </w:rPr>
        <w:t>linguistic moves the</w:t>
      </w:r>
      <w:r w:rsidR="00E029B6">
        <w:rPr>
          <w:szCs w:val="24"/>
        </w:rPr>
        <w:t>se</w:t>
      </w:r>
      <w:r w:rsidR="00585B99">
        <w:rPr>
          <w:szCs w:val="24"/>
        </w:rPr>
        <w:t xml:space="preserve"> speaker</w:t>
      </w:r>
      <w:r w:rsidR="00234E3B">
        <w:rPr>
          <w:szCs w:val="24"/>
        </w:rPr>
        <w:t xml:space="preserve">s make. </w:t>
      </w:r>
      <w:r w:rsidR="001D0A75">
        <w:rPr>
          <w:szCs w:val="24"/>
        </w:rPr>
        <w:t>But</w:t>
      </w:r>
      <w:r w:rsidR="00234E3B">
        <w:rPr>
          <w:szCs w:val="24"/>
        </w:rPr>
        <w:t xml:space="preserve"> the </w:t>
      </w:r>
      <w:r w:rsidR="00486299">
        <w:rPr>
          <w:szCs w:val="24"/>
        </w:rPr>
        <w:t>parties to this dispute</w:t>
      </w:r>
      <w:r w:rsidR="001D0A75">
        <w:rPr>
          <w:szCs w:val="24"/>
        </w:rPr>
        <w:t xml:space="preserve"> </w:t>
      </w:r>
      <w:r w:rsidR="00234E3B">
        <w:rPr>
          <w:szCs w:val="24"/>
        </w:rPr>
        <w:t>are engaged in a</w:t>
      </w:r>
      <w:r w:rsidR="001D0A75">
        <w:rPr>
          <w:szCs w:val="24"/>
        </w:rPr>
        <w:t xml:space="preserve"> very</w:t>
      </w:r>
      <w:r w:rsidR="00234E3B">
        <w:rPr>
          <w:szCs w:val="24"/>
        </w:rPr>
        <w:t xml:space="preserve"> different project</w:t>
      </w:r>
      <w:r w:rsidR="001D0A75">
        <w:rPr>
          <w:szCs w:val="24"/>
        </w:rPr>
        <w:t xml:space="preserve"> from our historian. They are engaged in</w:t>
      </w:r>
      <w:r w:rsidR="00234E3B">
        <w:rPr>
          <w:szCs w:val="24"/>
        </w:rPr>
        <w:t xml:space="preserve"> the project of trying to get the concept of marriage right. They therefore take up a different perspective: th</w:t>
      </w:r>
      <w:r w:rsidR="001D0A75">
        <w:rPr>
          <w:szCs w:val="24"/>
        </w:rPr>
        <w:t>e</w:t>
      </w:r>
      <w:r w:rsidR="00234E3B">
        <w:rPr>
          <w:szCs w:val="24"/>
        </w:rPr>
        <w:t xml:space="preserve"> prospective externalist perspective. </w:t>
      </w:r>
      <w:r w:rsidR="00486299">
        <w:rPr>
          <w:szCs w:val="24"/>
        </w:rPr>
        <w:t xml:space="preserve">They take one another to be </w:t>
      </w:r>
      <w:proofErr w:type="spellStart"/>
      <w:r w:rsidR="00486299">
        <w:rPr>
          <w:szCs w:val="24"/>
        </w:rPr>
        <w:t>samesaying</w:t>
      </w:r>
      <w:proofErr w:type="spellEnd"/>
      <w:r w:rsidR="00486299">
        <w:rPr>
          <w:szCs w:val="24"/>
        </w:rPr>
        <w:t xml:space="preserve">, despite their fundamentally different understandings, because they </w:t>
      </w:r>
      <w:r w:rsidR="00234E3B">
        <w:rPr>
          <w:rFonts w:cs="ChaparralPro-Regular"/>
          <w:szCs w:val="24"/>
        </w:rPr>
        <w:t xml:space="preserve">assume they are </w:t>
      </w:r>
      <w:r w:rsidR="00486299">
        <w:rPr>
          <w:rFonts w:cs="ChaparralPro-Regular"/>
          <w:szCs w:val="24"/>
        </w:rPr>
        <w:t xml:space="preserve">all </w:t>
      </w:r>
      <w:r w:rsidR="00234E3B">
        <w:rPr>
          <w:rFonts w:cs="ChaparralPro-Regular"/>
          <w:szCs w:val="24"/>
        </w:rPr>
        <w:t>after the same concept/topic –</w:t>
      </w:r>
      <w:r w:rsidR="00486299">
        <w:rPr>
          <w:rFonts w:cs="ChaparralPro-Regular"/>
          <w:szCs w:val="24"/>
        </w:rPr>
        <w:t xml:space="preserve"> what marriage is – </w:t>
      </w:r>
      <w:r w:rsidR="002C09EA">
        <w:rPr>
          <w:rFonts w:cs="ChaparralPro-Regular"/>
          <w:szCs w:val="24"/>
        </w:rPr>
        <w:t xml:space="preserve">and </w:t>
      </w:r>
      <w:r w:rsidR="00486299">
        <w:rPr>
          <w:rFonts w:cs="ChaparralPro-Regular"/>
          <w:szCs w:val="24"/>
        </w:rPr>
        <w:t>take speakers on the other side</w:t>
      </w:r>
      <w:r w:rsidR="00234E3B">
        <w:rPr>
          <w:rFonts w:cs="ChaparralPro-Regular"/>
          <w:szCs w:val="24"/>
        </w:rPr>
        <w:t xml:space="preserve"> to be mistaken about this concept/topic. Viewing opponents and proponents of gay marriage in this way will push us towards denying that any conceptual change has occurred in this case or that the speakers are all systematically mistaken and in fact talking past one another. The perspective of these speakers is a prospective externalist one that accommodates </w:t>
      </w:r>
      <w:proofErr w:type="spellStart"/>
      <w:r w:rsidR="00234E3B">
        <w:rPr>
          <w:rFonts w:cs="ChaparralPro-Regular"/>
          <w:szCs w:val="24"/>
        </w:rPr>
        <w:t>samesaying</w:t>
      </w:r>
      <w:proofErr w:type="spellEnd"/>
      <w:r w:rsidR="00234E3B">
        <w:rPr>
          <w:rFonts w:cs="ChaparralPro-Regular"/>
          <w:szCs w:val="24"/>
        </w:rPr>
        <w:t xml:space="preserve"> across </w:t>
      </w:r>
      <w:r w:rsidR="00BF719C">
        <w:rPr>
          <w:rFonts w:cs="ChaparralPro-Regular"/>
          <w:szCs w:val="24"/>
        </w:rPr>
        <w:t xml:space="preserve">disparate </w:t>
      </w:r>
      <w:r w:rsidR="00234E3B">
        <w:rPr>
          <w:rFonts w:cs="ChaparralPro-Regular"/>
          <w:szCs w:val="24"/>
        </w:rPr>
        <w:t>understanding</w:t>
      </w:r>
      <w:r w:rsidR="00BF719C">
        <w:rPr>
          <w:rFonts w:cs="ChaparralPro-Regular"/>
          <w:szCs w:val="24"/>
        </w:rPr>
        <w:t>s</w:t>
      </w:r>
      <w:r w:rsidR="00234E3B">
        <w:rPr>
          <w:rFonts w:cs="ChaparralPro-Regular"/>
          <w:szCs w:val="24"/>
        </w:rPr>
        <w:t xml:space="preserve"> because all the speakers in question are trying (and take one another to be trying) to get the concept/topic in question right. Our imaginary historian, by contrast, opts for a verdict of conceptual change and against </w:t>
      </w:r>
      <w:proofErr w:type="spellStart"/>
      <w:r w:rsidR="00234E3B">
        <w:rPr>
          <w:rFonts w:cs="ChaparralPro-Regular"/>
          <w:szCs w:val="24"/>
        </w:rPr>
        <w:t>samesaying</w:t>
      </w:r>
      <w:proofErr w:type="spellEnd"/>
      <w:r w:rsidR="00234E3B">
        <w:rPr>
          <w:rFonts w:cs="ChaparralPro-Regular"/>
          <w:szCs w:val="24"/>
        </w:rPr>
        <w:t xml:space="preserve"> here because their aim is to get the linguistic behavior of </w:t>
      </w:r>
      <w:r w:rsidR="00DE3BFF">
        <w:rPr>
          <w:rFonts w:cs="ChaparralPro-Regular"/>
          <w:szCs w:val="24"/>
        </w:rPr>
        <w:t xml:space="preserve">these </w:t>
      </w:r>
      <w:r w:rsidR="00234E3B">
        <w:rPr>
          <w:rFonts w:cs="ChaparralPro-Regular"/>
          <w:szCs w:val="24"/>
        </w:rPr>
        <w:t xml:space="preserve">speakers right. To treat these different speakers as </w:t>
      </w:r>
      <w:proofErr w:type="spellStart"/>
      <w:r w:rsidR="00234E3B">
        <w:rPr>
          <w:rFonts w:cs="ChaparralPro-Regular"/>
          <w:szCs w:val="24"/>
        </w:rPr>
        <w:t>samesaying</w:t>
      </w:r>
      <w:proofErr w:type="spellEnd"/>
      <w:r w:rsidR="00234E3B">
        <w:rPr>
          <w:rFonts w:cs="ChaparralPro-Regular"/>
          <w:szCs w:val="24"/>
        </w:rPr>
        <w:t xml:space="preserve"> will make the</w:t>
      </w:r>
      <w:r w:rsidR="00DE3BFF">
        <w:rPr>
          <w:rFonts w:cs="ChaparralPro-Regular"/>
          <w:szCs w:val="24"/>
        </w:rPr>
        <w:t>ir</w:t>
      </w:r>
      <w:r w:rsidR="00234E3B">
        <w:rPr>
          <w:rFonts w:cs="ChaparralPro-Regular"/>
          <w:szCs w:val="24"/>
        </w:rPr>
        <w:t xml:space="preserve"> linguistic behavior </w:t>
      </w:r>
      <w:r w:rsidR="00DE3BFF">
        <w:rPr>
          <w:rFonts w:cs="ChaparralPro-Regular"/>
          <w:szCs w:val="24"/>
        </w:rPr>
        <w:t>seemingly</w:t>
      </w:r>
      <w:r w:rsidR="00234E3B">
        <w:rPr>
          <w:rFonts w:cs="ChaparralPro-Regular"/>
          <w:szCs w:val="24"/>
        </w:rPr>
        <w:t xml:space="preserve"> inexplicable.</w:t>
      </w:r>
      <w:r w:rsidR="00702EC9">
        <w:tab/>
      </w:r>
    </w:p>
    <w:p w14:paraId="79CADB9F" w14:textId="77777777" w:rsidR="008A1B27" w:rsidRPr="000E3B16" w:rsidRDefault="00671442" w:rsidP="000E3B16">
      <w:pPr>
        <w:ind w:firstLine="720"/>
        <w:rPr>
          <w:szCs w:val="24"/>
        </w:rPr>
      </w:pPr>
      <w:r>
        <w:t>As I explained in the previous section, m</w:t>
      </w:r>
      <w:r w:rsidR="00702EC9">
        <w:t>y point here is not</w:t>
      </w:r>
      <w:r w:rsidR="000F45B2">
        <w:t xml:space="preserve"> to say</w:t>
      </w:r>
      <w:r w:rsidR="00702EC9">
        <w:t xml:space="preserve"> that either </w:t>
      </w:r>
      <w:r>
        <w:t xml:space="preserve">the retrospective </w:t>
      </w:r>
      <w:r w:rsidR="000F45B2">
        <w:t>or prospective view is</w:t>
      </w:r>
      <w:r w:rsidR="00E92EC9">
        <w:t xml:space="preserve"> the </w:t>
      </w:r>
      <w:r w:rsidR="000F45B2">
        <w:t>“</w:t>
      </w:r>
      <w:r w:rsidR="00E92EC9">
        <w:t>correct</w:t>
      </w:r>
      <w:r w:rsidR="000F45B2">
        <w:t>”</w:t>
      </w:r>
      <w:r w:rsidR="004E2E48">
        <w:t xml:space="preserve"> one for figuring out whether</w:t>
      </w:r>
      <w:r>
        <w:t xml:space="preserve"> </w:t>
      </w:r>
      <w:proofErr w:type="spellStart"/>
      <w:r>
        <w:t>samesaying</w:t>
      </w:r>
      <w:proofErr w:type="spellEnd"/>
      <w:r>
        <w:t xml:space="preserve"> or a conceptual change obtains </w:t>
      </w:r>
      <w:r w:rsidR="00E57235">
        <w:t>in this</w:t>
      </w:r>
      <w:r w:rsidR="002C09EA">
        <w:t xml:space="preserve"> or</w:t>
      </w:r>
      <w:r w:rsidR="007A1EDE">
        <w:t xml:space="preserve"> </w:t>
      </w:r>
      <w:r w:rsidR="001D40F3">
        <w:t>any</w:t>
      </w:r>
      <w:r w:rsidR="00C33FA6">
        <w:t xml:space="preserve"> case. </w:t>
      </w:r>
      <w:r w:rsidR="00E57235">
        <w:t>My intervention in this paper concerns how we should go about arriving at</w:t>
      </w:r>
      <w:r w:rsidR="001D40F3">
        <w:t xml:space="preserve"> these </w:t>
      </w:r>
      <w:proofErr w:type="spellStart"/>
      <w:r w:rsidR="001D40F3">
        <w:t>metasemantic</w:t>
      </w:r>
      <w:proofErr w:type="spellEnd"/>
      <w:r w:rsidR="00C33FA6">
        <w:t xml:space="preserve"> conclusions, and my position has been</w:t>
      </w:r>
      <w:r w:rsidR="001D40F3">
        <w:t xml:space="preserve"> that we need to clearly demarcate and describe the perspective and attendant practices speakers are utilizin</w:t>
      </w:r>
      <w:r w:rsidR="00C33FA6">
        <w:t>g in their linguistic dealings with others</w:t>
      </w:r>
      <w:r w:rsidR="001D40F3">
        <w:t xml:space="preserve"> </w:t>
      </w:r>
      <w:r w:rsidR="001D40F3">
        <w:rPr>
          <w:i/>
        </w:rPr>
        <w:t>before</w:t>
      </w:r>
      <w:r w:rsidR="001D40F3">
        <w:t xml:space="preserve"> we extrapolate our </w:t>
      </w:r>
      <w:proofErr w:type="spellStart"/>
      <w:r w:rsidR="001D40F3">
        <w:t>metasemantic</w:t>
      </w:r>
      <w:proofErr w:type="spellEnd"/>
      <w:r w:rsidR="001D40F3">
        <w:t xml:space="preserve"> conclusions. </w:t>
      </w:r>
      <w:r w:rsidR="004E2E48">
        <w:t>In particular, we need to be scrupulous not to take for grante</w:t>
      </w:r>
      <w:r w:rsidR="00DA3053">
        <w:t>d that the perspective</w:t>
      </w:r>
      <w:r w:rsidR="001D40F3">
        <w:t xml:space="preserve"> adopted by the speakers we are analyzing is </w:t>
      </w:r>
      <w:r w:rsidR="004E2E48">
        <w:t xml:space="preserve">the </w:t>
      </w:r>
      <w:r w:rsidR="004E2E48">
        <w:rPr>
          <w:i/>
        </w:rPr>
        <w:t>only</w:t>
      </w:r>
      <w:r w:rsidR="001D40F3">
        <w:t xml:space="preserve"> perspective on this case</w:t>
      </w:r>
      <w:r w:rsidR="004E2E48">
        <w:t xml:space="preserve"> speakers might adopt. To do so will inevitably </w:t>
      </w:r>
      <w:r w:rsidR="004011BA">
        <w:t>vitiate</w:t>
      </w:r>
      <w:r w:rsidR="004E2E48">
        <w:t xml:space="preserve"> our </w:t>
      </w:r>
      <w:proofErr w:type="spellStart"/>
      <w:r w:rsidR="004E2E48">
        <w:t>metasemantics</w:t>
      </w:r>
      <w:proofErr w:type="spellEnd"/>
      <w:r w:rsidR="004E2E48">
        <w:t>, stacking the deck</w:t>
      </w:r>
      <w:r w:rsidR="00DA3053">
        <w:t xml:space="preserve"> in favor of </w:t>
      </w:r>
      <w:r w:rsidR="001D40F3">
        <w:t>a particular verdict</w:t>
      </w:r>
      <w:r w:rsidR="00DA3053">
        <w:t xml:space="preserve"> </w:t>
      </w:r>
      <w:r w:rsidR="001D40F3">
        <w:t xml:space="preserve">on </w:t>
      </w:r>
      <w:proofErr w:type="spellStart"/>
      <w:r w:rsidR="001D40F3">
        <w:t>samesaying</w:t>
      </w:r>
      <w:proofErr w:type="spellEnd"/>
      <w:r w:rsidR="001D40F3">
        <w:t xml:space="preserve"> and conceptual change that may well shift – as it seems to in this case – based on the perspective adopted by the </w:t>
      </w:r>
      <w:r w:rsidR="004011BA">
        <w:t>relevant speakers</w:t>
      </w:r>
      <w:r w:rsidR="001D40F3">
        <w:t xml:space="preserve">. </w:t>
      </w:r>
    </w:p>
    <w:p w14:paraId="76585BD8" w14:textId="77777777" w:rsidR="003C4A01" w:rsidRDefault="003C4A01"/>
    <w:p w14:paraId="36C85BB0" w14:textId="77777777" w:rsidR="00D52992" w:rsidRDefault="00D52992">
      <w:pPr>
        <w:rPr>
          <w:i/>
        </w:rPr>
      </w:pPr>
      <w:r>
        <w:rPr>
          <w:i/>
        </w:rPr>
        <w:lastRenderedPageBreak/>
        <w:tab/>
        <w:t>Case 2: ‘Fish’ and ‘Whales’ in perspective</w:t>
      </w:r>
    </w:p>
    <w:p w14:paraId="3F725045" w14:textId="77777777" w:rsidR="00D52992" w:rsidRPr="00D52992" w:rsidRDefault="00D52992">
      <w:pPr>
        <w:rPr>
          <w:i/>
        </w:rPr>
      </w:pPr>
    </w:p>
    <w:p w14:paraId="1F7E3F09" w14:textId="77777777" w:rsidR="005E6FFE" w:rsidRDefault="00B36D6A">
      <w:r>
        <w:tab/>
        <w:t xml:space="preserve">The second </w:t>
      </w:r>
      <w:r w:rsidR="00DE3BFF">
        <w:t>example</w:t>
      </w:r>
      <w:r w:rsidR="004E2E48">
        <w:t xml:space="preserve"> I want to analyze using the two perspectives and broader framework I have sketched in this paper</w:t>
      </w:r>
      <w:r>
        <w:t xml:space="preserve"> involves two philosophers clashing over how to make sense of </w:t>
      </w:r>
      <w:proofErr w:type="spellStart"/>
      <w:r>
        <w:t>samesaying</w:t>
      </w:r>
      <w:proofErr w:type="spellEnd"/>
      <w:r>
        <w:t xml:space="preserve"> </w:t>
      </w:r>
      <w:r w:rsidR="001642C1">
        <w:t>with respect to</w:t>
      </w:r>
      <w:r>
        <w:t xml:space="preserve"> the</w:t>
      </w:r>
      <w:r w:rsidR="005E6FFE">
        <w:t xml:space="preserve"> very</w:t>
      </w:r>
      <w:r>
        <w:t xml:space="preserve"> same case</w:t>
      </w:r>
      <w:r w:rsidR="00386947">
        <w:t>,</w:t>
      </w:r>
      <w:r w:rsidR="00DB584F">
        <w:t xml:space="preserve"> though their </w:t>
      </w:r>
      <w:r w:rsidR="00386947">
        <w:t>two accounts</w:t>
      </w:r>
      <w:r w:rsidR="00DB584F">
        <w:t xml:space="preserve"> are developed entirely independent of one another</w:t>
      </w:r>
      <w:r w:rsidR="005E6FFE">
        <w:t>. (O</w:t>
      </w:r>
      <w:r w:rsidR="00386947">
        <w:t>ne is writing ov</w:t>
      </w:r>
      <w:r w:rsidR="005E6FFE">
        <w:t>er fifty years before the other</w:t>
      </w:r>
      <w:r>
        <w:t>.</w:t>
      </w:r>
      <w:r w:rsidR="005E6FFE">
        <w:t>)</w:t>
      </w:r>
      <w:r>
        <w:t xml:space="preserve"> On my</w:t>
      </w:r>
      <w:r w:rsidR="00386947">
        <w:t xml:space="preserve"> reading,</w:t>
      </w:r>
      <w:r w:rsidR="004E2E48">
        <w:t xml:space="preserve"> these philosophers both make the mistake I have been warning against. Each </w:t>
      </w:r>
      <w:r w:rsidR="00D52992">
        <w:t>assumes</w:t>
      </w:r>
      <w:r>
        <w:t xml:space="preserve"> a particular perspective</w:t>
      </w:r>
      <w:r w:rsidR="00196E49">
        <w:t xml:space="preserve"> on linguistic practice</w:t>
      </w:r>
      <w:r w:rsidR="00D52992">
        <w:t xml:space="preserve"> – either prospective or retrospective –</w:t>
      </w:r>
      <w:r w:rsidR="00196E49">
        <w:t xml:space="preserve"> </w:t>
      </w:r>
      <w:r>
        <w:t xml:space="preserve">and forms their </w:t>
      </w:r>
      <w:proofErr w:type="spellStart"/>
      <w:r>
        <w:t>metasemantic</w:t>
      </w:r>
      <w:proofErr w:type="spellEnd"/>
      <w:r>
        <w:t xml:space="preserve"> conclusions</w:t>
      </w:r>
      <w:r w:rsidR="001642C1">
        <w:t xml:space="preserve"> from there.</w:t>
      </w:r>
    </w:p>
    <w:p w14:paraId="4944F930" w14:textId="77777777" w:rsidR="00452C3C" w:rsidRDefault="001642C1" w:rsidP="001642C1">
      <w:pPr>
        <w:rPr>
          <w:szCs w:val="24"/>
        </w:rPr>
      </w:pPr>
      <w:r w:rsidRPr="00452C3C">
        <w:rPr>
          <w:szCs w:val="24"/>
        </w:rPr>
        <w:tab/>
        <w:t xml:space="preserve">Consider first </w:t>
      </w:r>
      <w:r w:rsidR="00DB5C37" w:rsidRPr="00452C3C">
        <w:rPr>
          <w:szCs w:val="24"/>
        </w:rPr>
        <w:t xml:space="preserve">Alessandra </w:t>
      </w:r>
      <w:proofErr w:type="spellStart"/>
      <w:r w:rsidR="00DB5C37" w:rsidRPr="00452C3C">
        <w:rPr>
          <w:szCs w:val="24"/>
        </w:rPr>
        <w:t>Tanesini’s</w:t>
      </w:r>
      <w:proofErr w:type="spellEnd"/>
      <w:r w:rsidR="00DB5C37" w:rsidRPr="00452C3C">
        <w:rPr>
          <w:szCs w:val="24"/>
        </w:rPr>
        <w:t xml:space="preserve"> account of encountering </w:t>
      </w:r>
      <w:r w:rsidRPr="00452C3C">
        <w:rPr>
          <w:szCs w:val="24"/>
        </w:rPr>
        <w:t>a text from a previous historical era</w:t>
      </w:r>
      <w:r w:rsidR="00D52992">
        <w:rPr>
          <w:szCs w:val="24"/>
        </w:rPr>
        <w:t xml:space="preserve">. </w:t>
      </w:r>
      <w:proofErr w:type="spellStart"/>
      <w:r w:rsidR="00D52992">
        <w:rPr>
          <w:szCs w:val="24"/>
        </w:rPr>
        <w:t>Tanesini</w:t>
      </w:r>
      <w:proofErr w:type="spellEnd"/>
      <w:r w:rsidR="00D52992">
        <w:rPr>
          <w:szCs w:val="24"/>
        </w:rPr>
        <w:t xml:space="preserve"> takes for granted that</w:t>
      </w:r>
      <w:r w:rsidR="00234E3B">
        <w:rPr>
          <w:szCs w:val="24"/>
        </w:rPr>
        <w:t xml:space="preserve"> the authors of the text and subsequent</w:t>
      </w:r>
      <w:r w:rsidR="00D52992">
        <w:rPr>
          <w:szCs w:val="24"/>
        </w:rPr>
        <w:t xml:space="preserve"> speakers</w:t>
      </w:r>
      <w:r w:rsidR="00196E49">
        <w:rPr>
          <w:szCs w:val="24"/>
        </w:rPr>
        <w:t xml:space="preserve"> interacting with this</w:t>
      </w:r>
      <w:r w:rsidR="00234E3B">
        <w:rPr>
          <w:szCs w:val="24"/>
        </w:rPr>
        <w:t xml:space="preserve"> text</w:t>
      </w:r>
      <w:r w:rsidR="00D52992">
        <w:rPr>
          <w:szCs w:val="24"/>
        </w:rPr>
        <w:t xml:space="preserve"> </w:t>
      </w:r>
      <w:r w:rsidR="00B666E0">
        <w:rPr>
          <w:szCs w:val="24"/>
        </w:rPr>
        <w:t>all operate</w:t>
      </w:r>
      <w:r w:rsidR="00D52992">
        <w:rPr>
          <w:szCs w:val="24"/>
        </w:rPr>
        <w:t xml:space="preserve"> from within a prospective externalist perspective. She writes</w:t>
      </w:r>
      <w:r w:rsidR="00DB5C37" w:rsidRPr="00452C3C">
        <w:rPr>
          <w:szCs w:val="24"/>
        </w:rPr>
        <w:t xml:space="preserve">: </w:t>
      </w:r>
      <w:r w:rsidR="00452C3C" w:rsidRPr="00452C3C">
        <w:rPr>
          <w:szCs w:val="24"/>
        </w:rPr>
        <w:t>“</w:t>
      </w:r>
      <w:r w:rsidRPr="00452C3C">
        <w:rPr>
          <w:szCs w:val="24"/>
        </w:rPr>
        <w:t>When one</w:t>
      </w:r>
      <w:r w:rsidR="00DB5C37" w:rsidRPr="00452C3C">
        <w:rPr>
          <w:szCs w:val="24"/>
        </w:rPr>
        <w:t xml:space="preserve"> reads past texts referring to whales and dolphins as fish, one is not inclined to think that the writers did not know how to use ‘fish’ given their linguistic commitments. Rather, one takes their error to be factual: they did not know that whales are not fish. That is, one takes them to be committed to the same norms to which we are committed</w:t>
      </w:r>
      <w:r w:rsidR="00452C3C" w:rsidRPr="00452C3C">
        <w:rPr>
          <w:szCs w:val="24"/>
        </w:rPr>
        <w:t>”</w:t>
      </w:r>
      <w:r w:rsidR="00452C3C">
        <w:rPr>
          <w:szCs w:val="24"/>
        </w:rPr>
        <w:t xml:space="preserve"> (2014, 16). </w:t>
      </w:r>
      <w:r w:rsidR="00F64478" w:rsidRPr="00452C3C">
        <w:rPr>
          <w:szCs w:val="24"/>
        </w:rPr>
        <w:t>In what sense do we “take” these previous s</w:t>
      </w:r>
      <w:r w:rsidR="00FA5547">
        <w:rPr>
          <w:szCs w:val="24"/>
        </w:rPr>
        <w:t>peakers’ “error to be factual”?</w:t>
      </w:r>
      <w:r w:rsidR="00C02319">
        <w:rPr>
          <w:szCs w:val="24"/>
        </w:rPr>
        <w:t xml:space="preserve"> We take them to have made a </w:t>
      </w:r>
      <w:r w:rsidR="00D826AC">
        <w:rPr>
          <w:szCs w:val="24"/>
        </w:rPr>
        <w:t xml:space="preserve">factual </w:t>
      </w:r>
      <w:r w:rsidR="00C02319">
        <w:rPr>
          <w:szCs w:val="24"/>
        </w:rPr>
        <w:t>mistake because we assume they were after the same concept/topic we are (that they are “committed to the same norms”</w:t>
      </w:r>
      <w:r w:rsidR="004E2E48">
        <w:rPr>
          <w:szCs w:val="24"/>
        </w:rPr>
        <w:t xml:space="preserve"> as we are</w:t>
      </w:r>
      <w:r w:rsidR="00D826AC">
        <w:rPr>
          <w:szCs w:val="24"/>
        </w:rPr>
        <w:t>), but that</w:t>
      </w:r>
      <w:r w:rsidR="004E2E48">
        <w:rPr>
          <w:szCs w:val="24"/>
        </w:rPr>
        <w:t xml:space="preserve"> they made certain empirical mistakes.</w:t>
      </w:r>
      <w:r w:rsidR="001127C7">
        <w:rPr>
          <w:szCs w:val="24"/>
        </w:rPr>
        <w:t xml:space="preserve"> </w:t>
      </w:r>
      <w:r w:rsidR="00196E49">
        <w:rPr>
          <w:szCs w:val="24"/>
        </w:rPr>
        <w:t xml:space="preserve">In other words, </w:t>
      </w:r>
      <w:proofErr w:type="spellStart"/>
      <w:r w:rsidR="00196E49">
        <w:rPr>
          <w:szCs w:val="24"/>
        </w:rPr>
        <w:t>Tanesini</w:t>
      </w:r>
      <w:proofErr w:type="spellEnd"/>
      <w:r w:rsidR="00196E49">
        <w:rPr>
          <w:szCs w:val="24"/>
        </w:rPr>
        <w:t xml:space="preserve"> is taking </w:t>
      </w:r>
      <w:r w:rsidR="001127C7">
        <w:rPr>
          <w:szCs w:val="24"/>
        </w:rPr>
        <w:t>for granted here that the relevant speakers (the</w:t>
      </w:r>
      <w:r w:rsidR="00333F1B">
        <w:rPr>
          <w:szCs w:val="24"/>
        </w:rPr>
        <w:t>se previous speakers and current speakers)</w:t>
      </w:r>
      <w:r w:rsidR="001127C7">
        <w:rPr>
          <w:szCs w:val="24"/>
        </w:rPr>
        <w:t xml:space="preserve"> are all engaged in the same prospective project of getting the concept</w:t>
      </w:r>
      <w:r w:rsidR="005014B1">
        <w:rPr>
          <w:szCs w:val="24"/>
        </w:rPr>
        <w:t>s</w:t>
      </w:r>
      <w:r w:rsidR="001127C7">
        <w:rPr>
          <w:szCs w:val="24"/>
        </w:rPr>
        <w:t xml:space="preserve"> of </w:t>
      </w:r>
      <w:r w:rsidR="005014B1">
        <w:rPr>
          <w:szCs w:val="24"/>
        </w:rPr>
        <w:t>whale and fish</w:t>
      </w:r>
      <w:r w:rsidR="001127C7">
        <w:rPr>
          <w:szCs w:val="24"/>
        </w:rPr>
        <w:t xml:space="preserve"> right. As such, we can take them to be bound by the same norms we are – to be </w:t>
      </w:r>
      <w:proofErr w:type="spellStart"/>
      <w:r w:rsidR="001127C7">
        <w:rPr>
          <w:szCs w:val="24"/>
        </w:rPr>
        <w:t>samesaying</w:t>
      </w:r>
      <w:proofErr w:type="spellEnd"/>
      <w:r w:rsidR="001127C7">
        <w:rPr>
          <w:szCs w:val="24"/>
        </w:rPr>
        <w:t xml:space="preserve"> with us – and the differences in their linguistic behavior should therefore be taken to be the result of various </w:t>
      </w:r>
      <w:r w:rsidR="00333F1B">
        <w:rPr>
          <w:szCs w:val="24"/>
        </w:rPr>
        <w:t xml:space="preserve">empirical </w:t>
      </w:r>
      <w:r w:rsidR="001127C7">
        <w:rPr>
          <w:szCs w:val="24"/>
        </w:rPr>
        <w:t xml:space="preserve">mistakes, rather than evidence that they were bound to fundamentally different norms (i.e., not </w:t>
      </w:r>
      <w:proofErr w:type="spellStart"/>
      <w:r w:rsidR="001127C7">
        <w:rPr>
          <w:szCs w:val="24"/>
        </w:rPr>
        <w:t>samesaying</w:t>
      </w:r>
      <w:proofErr w:type="spellEnd"/>
      <w:r w:rsidR="001127C7">
        <w:rPr>
          <w:szCs w:val="24"/>
        </w:rPr>
        <w:t xml:space="preserve"> with us). </w:t>
      </w:r>
      <w:r w:rsidR="00452C3C">
        <w:rPr>
          <w:szCs w:val="24"/>
        </w:rPr>
        <w:t xml:space="preserve">The speakers </w:t>
      </w:r>
      <w:proofErr w:type="spellStart"/>
      <w:r w:rsidR="00452C3C">
        <w:rPr>
          <w:szCs w:val="24"/>
        </w:rPr>
        <w:t>Tanesini</w:t>
      </w:r>
      <w:proofErr w:type="spellEnd"/>
      <w:r w:rsidR="00452C3C">
        <w:rPr>
          <w:szCs w:val="24"/>
        </w:rPr>
        <w:t xml:space="preserve"> has in mind to defend her </w:t>
      </w:r>
      <w:proofErr w:type="spellStart"/>
      <w:r w:rsidR="00452C3C">
        <w:rPr>
          <w:szCs w:val="24"/>
        </w:rPr>
        <w:t>metasemantic</w:t>
      </w:r>
      <w:proofErr w:type="spellEnd"/>
      <w:r w:rsidR="00452C3C">
        <w:rPr>
          <w:szCs w:val="24"/>
        </w:rPr>
        <w:t xml:space="preserve"> conclusions are therefore all </w:t>
      </w:r>
      <w:r w:rsidR="00517B27">
        <w:rPr>
          <w:szCs w:val="24"/>
        </w:rPr>
        <w:t>operating from within</w:t>
      </w:r>
      <w:r w:rsidR="00452C3C">
        <w:rPr>
          <w:szCs w:val="24"/>
        </w:rPr>
        <w:t xml:space="preserve"> the prospective externalist perspective of trying to get </w:t>
      </w:r>
      <w:r w:rsidR="00333F1B">
        <w:rPr>
          <w:szCs w:val="24"/>
        </w:rPr>
        <w:t>a</w:t>
      </w:r>
      <w:r w:rsidR="00452C3C">
        <w:rPr>
          <w:szCs w:val="24"/>
        </w:rPr>
        <w:t xml:space="preserve"> concept/topic correct</w:t>
      </w:r>
      <w:r w:rsidR="00333F1B">
        <w:rPr>
          <w:szCs w:val="24"/>
        </w:rPr>
        <w:t xml:space="preserve">, and she forms her </w:t>
      </w:r>
      <w:proofErr w:type="spellStart"/>
      <w:r w:rsidR="00333F1B">
        <w:rPr>
          <w:szCs w:val="24"/>
        </w:rPr>
        <w:t>metasemantic</w:t>
      </w:r>
      <w:proofErr w:type="spellEnd"/>
      <w:r w:rsidR="00333F1B">
        <w:rPr>
          <w:szCs w:val="24"/>
        </w:rPr>
        <w:t xml:space="preserve"> conclusions </w:t>
      </w:r>
      <w:r w:rsidR="00D97D8E">
        <w:rPr>
          <w:szCs w:val="24"/>
        </w:rPr>
        <w:t xml:space="preserve">exclusively </w:t>
      </w:r>
      <w:r w:rsidR="00333F1B">
        <w:rPr>
          <w:szCs w:val="24"/>
        </w:rPr>
        <w:t>with this perspective in mind</w:t>
      </w:r>
      <w:r w:rsidR="00452C3C">
        <w:rPr>
          <w:szCs w:val="24"/>
        </w:rPr>
        <w:t>.</w:t>
      </w:r>
    </w:p>
    <w:p w14:paraId="761873C3" w14:textId="77777777" w:rsidR="00DB5C37" w:rsidRPr="00452C3C" w:rsidRDefault="00452C3C" w:rsidP="001642C1">
      <w:pPr>
        <w:rPr>
          <w:szCs w:val="24"/>
        </w:rPr>
      </w:pPr>
      <w:r>
        <w:rPr>
          <w:szCs w:val="24"/>
        </w:rPr>
        <w:tab/>
      </w:r>
      <w:r w:rsidRPr="00452C3C">
        <w:rPr>
          <w:szCs w:val="24"/>
        </w:rPr>
        <w:t xml:space="preserve">But </w:t>
      </w:r>
      <w:proofErr w:type="spellStart"/>
      <w:r w:rsidRPr="00452C3C">
        <w:rPr>
          <w:szCs w:val="24"/>
        </w:rPr>
        <w:t>Tanesini</w:t>
      </w:r>
      <w:proofErr w:type="spellEnd"/>
      <w:r w:rsidRPr="00452C3C">
        <w:rPr>
          <w:szCs w:val="24"/>
        </w:rPr>
        <w:t xml:space="preserve"> does not consider </w:t>
      </w:r>
      <w:r w:rsidR="004E2E48">
        <w:rPr>
          <w:szCs w:val="24"/>
        </w:rPr>
        <w:t>that there are</w:t>
      </w:r>
      <w:r w:rsidR="00D826AC">
        <w:rPr>
          <w:szCs w:val="24"/>
        </w:rPr>
        <w:t xml:space="preserve"> linguistic contexts where we </w:t>
      </w:r>
      <w:r w:rsidRPr="00452C3C">
        <w:rPr>
          <w:szCs w:val="24"/>
        </w:rPr>
        <w:t>do not take speakers</w:t>
      </w:r>
      <w:r w:rsidR="00D826AC">
        <w:rPr>
          <w:szCs w:val="24"/>
        </w:rPr>
        <w:t xml:space="preserve"> from “past texts”</w:t>
      </w:r>
      <w:r w:rsidRPr="00452C3C">
        <w:rPr>
          <w:szCs w:val="24"/>
        </w:rPr>
        <w:t xml:space="preserve"> </w:t>
      </w:r>
      <w:r w:rsidR="00DA3053">
        <w:rPr>
          <w:szCs w:val="24"/>
        </w:rPr>
        <w:t>to be</w:t>
      </w:r>
      <w:r w:rsidR="00D826AC">
        <w:rPr>
          <w:szCs w:val="24"/>
        </w:rPr>
        <w:t xml:space="preserve"> </w:t>
      </w:r>
      <w:r w:rsidRPr="00452C3C">
        <w:rPr>
          <w:szCs w:val="24"/>
        </w:rPr>
        <w:t>“committed to the same</w:t>
      </w:r>
      <w:r w:rsidR="00DA3053">
        <w:rPr>
          <w:szCs w:val="24"/>
        </w:rPr>
        <w:t xml:space="preserve"> [linguistic]</w:t>
      </w:r>
      <w:r w:rsidRPr="00452C3C">
        <w:rPr>
          <w:szCs w:val="24"/>
        </w:rPr>
        <w:t xml:space="preserve"> norms to which we are committed”. </w:t>
      </w:r>
      <w:r w:rsidR="00E92EC9">
        <w:rPr>
          <w:szCs w:val="24"/>
        </w:rPr>
        <w:t xml:space="preserve">When we encounter texts and speakers </w:t>
      </w:r>
      <w:r w:rsidR="00C54E60">
        <w:rPr>
          <w:szCs w:val="24"/>
        </w:rPr>
        <w:t>that utilize terms or concepts in ways that seem radically differ from our own, we sometimes switch to the perspective of the Kuhnian historian: we do not assume these speakers are bound to the same norms as we are, and we work to acquire the different concepts they are operating with.</w:t>
      </w:r>
      <w:r w:rsidR="00196E49">
        <w:rPr>
          <w:rStyle w:val="FootnoteReference"/>
          <w:szCs w:val="24"/>
        </w:rPr>
        <w:footnoteReference w:id="15"/>
      </w:r>
      <w:r w:rsidR="00C54E60">
        <w:rPr>
          <w:szCs w:val="24"/>
        </w:rPr>
        <w:t xml:space="preserve"> </w:t>
      </w:r>
      <w:r w:rsidRPr="00452C3C">
        <w:rPr>
          <w:szCs w:val="24"/>
        </w:rPr>
        <w:t>Consider</w:t>
      </w:r>
      <w:r w:rsidR="00C54E60">
        <w:rPr>
          <w:szCs w:val="24"/>
        </w:rPr>
        <w:t>, for example,</w:t>
      </w:r>
      <w:r w:rsidRPr="00452C3C">
        <w:rPr>
          <w:szCs w:val="24"/>
        </w:rPr>
        <w:t xml:space="preserve"> the following discussion of the very same example as </w:t>
      </w:r>
      <w:proofErr w:type="spellStart"/>
      <w:r w:rsidRPr="00452C3C">
        <w:rPr>
          <w:szCs w:val="24"/>
        </w:rPr>
        <w:t>Tanesini</w:t>
      </w:r>
      <w:proofErr w:type="spellEnd"/>
      <w:r w:rsidRPr="00452C3C">
        <w:rPr>
          <w:szCs w:val="24"/>
        </w:rPr>
        <w:t xml:space="preserve"> from Carnap</w:t>
      </w:r>
      <w:r w:rsidR="0008561C">
        <w:rPr>
          <w:szCs w:val="24"/>
        </w:rPr>
        <w:t>:</w:t>
      </w:r>
    </w:p>
    <w:p w14:paraId="231DEB10" w14:textId="77777777" w:rsidR="00DB5C37" w:rsidRPr="00452C3C" w:rsidRDefault="00DB5C37">
      <w:pPr>
        <w:rPr>
          <w:szCs w:val="24"/>
        </w:rPr>
      </w:pPr>
    </w:p>
    <w:p w14:paraId="4DCF9BF4" w14:textId="77777777" w:rsidR="00DB5C37" w:rsidRDefault="00DB5C37" w:rsidP="00452C3C">
      <w:pPr>
        <w:autoSpaceDE w:val="0"/>
        <w:autoSpaceDN w:val="0"/>
        <w:adjustRightInd w:val="0"/>
        <w:spacing w:line="240" w:lineRule="auto"/>
        <w:ind w:left="720"/>
        <w:rPr>
          <w:rFonts w:cs="Times New Roman"/>
          <w:sz w:val="22"/>
        </w:rPr>
      </w:pPr>
      <w:r w:rsidRPr="00347D04">
        <w:rPr>
          <w:rFonts w:cs="Times New Roman"/>
          <w:sz w:val="22"/>
        </w:rPr>
        <w:t>The situation is not adequately described by the statement: ‘The previous belief that whales (in German even called ‘</w:t>
      </w:r>
      <w:proofErr w:type="spellStart"/>
      <w:r w:rsidRPr="00347D04">
        <w:rPr>
          <w:rFonts w:cs="Times New Roman"/>
          <w:sz w:val="22"/>
        </w:rPr>
        <w:t>Walfische</w:t>
      </w:r>
      <w:proofErr w:type="spellEnd"/>
      <w:r w:rsidRPr="00347D04">
        <w:rPr>
          <w:rFonts w:cs="Times New Roman"/>
          <w:sz w:val="22"/>
        </w:rPr>
        <w:t xml:space="preserve">’) are also fish is refuted by zoology’. The prescientific term ‘fish’ was meant in about the sense of ‘animal living in water’; therefore its application to whales, etc., was entirely correct. The change which zoologists brought about in this point was not a correction in the field of factual knowledge but a change in the rules of the language; this change, it is true, was </w:t>
      </w:r>
      <w:r w:rsidRPr="00347D04">
        <w:rPr>
          <w:rFonts w:cs="Times New Roman"/>
          <w:sz w:val="22"/>
        </w:rPr>
        <w:lastRenderedPageBreak/>
        <w:t>motivated by factual discoveries. That the explicandum</w:t>
      </w:r>
      <w:r w:rsidR="00452C3C" w:rsidRPr="00347D04">
        <w:rPr>
          <w:rFonts w:cs="Times New Roman"/>
          <w:sz w:val="22"/>
        </w:rPr>
        <w:t xml:space="preserve"> </w:t>
      </w:r>
      <w:r w:rsidRPr="00347D04">
        <w:rPr>
          <w:rFonts w:cs="Times New Roman"/>
          <w:sz w:val="22"/>
        </w:rPr>
        <w:t xml:space="preserve">Fish has been replaced by the </w:t>
      </w:r>
      <w:proofErr w:type="spellStart"/>
      <w:r w:rsidRPr="00347D04">
        <w:rPr>
          <w:rFonts w:cs="Times New Roman"/>
          <w:sz w:val="22"/>
        </w:rPr>
        <w:t>explicatum</w:t>
      </w:r>
      <w:proofErr w:type="spellEnd"/>
      <w:r w:rsidRPr="00347D04">
        <w:rPr>
          <w:rFonts w:cs="Times New Roman"/>
          <w:sz w:val="22"/>
        </w:rPr>
        <w:t xml:space="preserve"> </w:t>
      </w:r>
      <w:proofErr w:type="spellStart"/>
      <w:r w:rsidRPr="00347D04">
        <w:rPr>
          <w:rFonts w:cs="Times New Roman"/>
          <w:sz w:val="22"/>
        </w:rPr>
        <w:t>Piscis</w:t>
      </w:r>
      <w:proofErr w:type="spellEnd"/>
      <w:r w:rsidRPr="00347D04">
        <w:rPr>
          <w:rFonts w:cs="Times New Roman"/>
          <w:sz w:val="22"/>
        </w:rPr>
        <w:t xml:space="preserve"> does not mean that the former term can always be replaced by the latter; because of the difference in meaning just mentioned,</w:t>
      </w:r>
      <w:r w:rsidR="00452C3C" w:rsidRPr="00347D04">
        <w:rPr>
          <w:rFonts w:cs="Times New Roman"/>
          <w:sz w:val="22"/>
        </w:rPr>
        <w:t xml:space="preserve"> this is obviously not the case (1962, 6).</w:t>
      </w:r>
    </w:p>
    <w:p w14:paraId="309EC2FF" w14:textId="77777777" w:rsidR="00347D04" w:rsidRDefault="00347D04" w:rsidP="00347D04">
      <w:pPr>
        <w:autoSpaceDE w:val="0"/>
        <w:autoSpaceDN w:val="0"/>
        <w:adjustRightInd w:val="0"/>
        <w:spacing w:line="240" w:lineRule="auto"/>
        <w:rPr>
          <w:rFonts w:cs="Times New Roman"/>
          <w:sz w:val="22"/>
        </w:rPr>
      </w:pPr>
    </w:p>
    <w:p w14:paraId="55AB84EE" w14:textId="77777777" w:rsidR="00347D04" w:rsidRDefault="00667444" w:rsidP="00347D04">
      <w:pPr>
        <w:autoSpaceDE w:val="0"/>
        <w:autoSpaceDN w:val="0"/>
        <w:adjustRightInd w:val="0"/>
        <w:spacing w:line="240" w:lineRule="auto"/>
        <w:rPr>
          <w:rFonts w:cs="Times New Roman"/>
          <w:szCs w:val="24"/>
        </w:rPr>
      </w:pPr>
      <w:r w:rsidRPr="00106744">
        <w:rPr>
          <w:rFonts w:cs="Times New Roman"/>
          <w:szCs w:val="24"/>
        </w:rPr>
        <w:t xml:space="preserve">How can Carnap come down so differently on the </w:t>
      </w:r>
      <w:r w:rsidR="00FA5547" w:rsidRPr="00106744">
        <w:rPr>
          <w:rFonts w:cs="Times New Roman"/>
          <w:szCs w:val="24"/>
        </w:rPr>
        <w:t xml:space="preserve">very </w:t>
      </w:r>
      <w:r w:rsidRPr="00106744">
        <w:rPr>
          <w:rFonts w:cs="Times New Roman"/>
          <w:szCs w:val="24"/>
        </w:rPr>
        <w:t xml:space="preserve">same example as </w:t>
      </w:r>
      <w:proofErr w:type="spellStart"/>
      <w:r w:rsidRPr="00106744">
        <w:rPr>
          <w:rFonts w:cs="Times New Roman"/>
          <w:szCs w:val="24"/>
        </w:rPr>
        <w:t>Tanesini</w:t>
      </w:r>
      <w:proofErr w:type="spellEnd"/>
      <w:r w:rsidRPr="00106744">
        <w:rPr>
          <w:rFonts w:cs="Times New Roman"/>
          <w:szCs w:val="24"/>
        </w:rPr>
        <w:t xml:space="preserve"> and </w:t>
      </w:r>
      <w:r w:rsidR="00FA5547" w:rsidRPr="00106744">
        <w:rPr>
          <w:rFonts w:cs="Times New Roman"/>
          <w:szCs w:val="24"/>
        </w:rPr>
        <w:t>Sawyer</w:t>
      </w:r>
      <w:r w:rsidR="00106744">
        <w:rPr>
          <w:rFonts w:cs="Times New Roman"/>
          <w:szCs w:val="24"/>
        </w:rPr>
        <w:t>, arguing t</w:t>
      </w:r>
      <w:r w:rsidR="000F45B2">
        <w:rPr>
          <w:rFonts w:cs="Times New Roman"/>
          <w:szCs w:val="24"/>
        </w:rPr>
        <w:t>hat this is a clear example of</w:t>
      </w:r>
      <w:r w:rsidR="00106744">
        <w:rPr>
          <w:rFonts w:cs="Times New Roman"/>
          <w:szCs w:val="24"/>
        </w:rPr>
        <w:t xml:space="preserve"> conceptual change (“a change in the rules of the language”) when </w:t>
      </w:r>
      <w:proofErr w:type="spellStart"/>
      <w:r w:rsidR="00106744">
        <w:rPr>
          <w:rFonts w:cs="Times New Roman"/>
          <w:szCs w:val="24"/>
        </w:rPr>
        <w:t>Tanesini</w:t>
      </w:r>
      <w:proofErr w:type="spellEnd"/>
      <w:r w:rsidR="00106744">
        <w:rPr>
          <w:rFonts w:cs="Times New Roman"/>
          <w:szCs w:val="24"/>
        </w:rPr>
        <w:t xml:space="preserve"> and Sawyer have come out with the opposite but equally unequivocal verdict (</w:t>
      </w:r>
      <w:r w:rsidR="000F45B2">
        <w:rPr>
          <w:rFonts w:cs="Times New Roman"/>
          <w:szCs w:val="24"/>
        </w:rPr>
        <w:t xml:space="preserve">that it is </w:t>
      </w:r>
      <w:r w:rsidR="00106744">
        <w:rPr>
          <w:rFonts w:cs="Times New Roman"/>
          <w:szCs w:val="24"/>
        </w:rPr>
        <w:t>“a correction in the field of factual knowledge”)</w:t>
      </w:r>
      <w:r w:rsidRPr="00106744">
        <w:rPr>
          <w:rFonts w:cs="Times New Roman"/>
          <w:szCs w:val="24"/>
        </w:rPr>
        <w:t>?</w:t>
      </w:r>
      <w:r w:rsidR="00106744" w:rsidRPr="00106744">
        <w:rPr>
          <w:rFonts w:cs="Times New Roman"/>
          <w:szCs w:val="24"/>
        </w:rPr>
        <w:t xml:space="preserve"> The answer is that </w:t>
      </w:r>
      <w:r w:rsidR="00106744">
        <w:rPr>
          <w:rFonts w:cs="Times New Roman"/>
          <w:szCs w:val="24"/>
        </w:rPr>
        <w:t xml:space="preserve">Carnap is taking up a different perspective on </w:t>
      </w:r>
      <w:r w:rsidR="000F45B2">
        <w:rPr>
          <w:rFonts w:cs="Times New Roman"/>
          <w:szCs w:val="24"/>
        </w:rPr>
        <w:t>the linguistic activity of the relevant</w:t>
      </w:r>
      <w:r w:rsidR="00106744">
        <w:rPr>
          <w:rFonts w:cs="Times New Roman"/>
          <w:szCs w:val="24"/>
        </w:rPr>
        <w:t xml:space="preserve"> speakers than both </w:t>
      </w:r>
      <w:proofErr w:type="spellStart"/>
      <w:r w:rsidR="00106744">
        <w:rPr>
          <w:rFonts w:cs="Times New Roman"/>
          <w:szCs w:val="24"/>
        </w:rPr>
        <w:t>Tanesini</w:t>
      </w:r>
      <w:proofErr w:type="spellEnd"/>
      <w:r w:rsidR="00106744">
        <w:rPr>
          <w:rFonts w:cs="Times New Roman"/>
          <w:szCs w:val="24"/>
        </w:rPr>
        <w:t xml:space="preserve"> and </w:t>
      </w:r>
      <w:proofErr w:type="spellStart"/>
      <w:r w:rsidR="00106744">
        <w:rPr>
          <w:rFonts w:cs="Times New Roman"/>
          <w:szCs w:val="24"/>
        </w:rPr>
        <w:t>Sawer</w:t>
      </w:r>
      <w:proofErr w:type="spellEnd"/>
      <w:r w:rsidR="00106744">
        <w:rPr>
          <w:rFonts w:cs="Times New Roman"/>
          <w:szCs w:val="24"/>
        </w:rPr>
        <w:t xml:space="preserve">. For Carnap, treating whales as fish is “entirely correct” by the lights of those speakers who understand fish as an “animal living in water”. If we do not utilize this understanding of </w:t>
      </w:r>
      <w:r w:rsidR="00106744" w:rsidRPr="00106744">
        <w:rPr>
          <w:rFonts w:cs="Times New Roman"/>
          <w:sz w:val="18"/>
          <w:szCs w:val="18"/>
        </w:rPr>
        <w:t>FISH</w:t>
      </w:r>
      <w:r w:rsidR="00106744">
        <w:rPr>
          <w:rFonts w:cs="Times New Roman"/>
          <w:sz w:val="18"/>
          <w:szCs w:val="18"/>
        </w:rPr>
        <w:t xml:space="preserve"> </w:t>
      </w:r>
      <w:r w:rsidR="00106744">
        <w:rPr>
          <w:rFonts w:cs="Times New Roman"/>
          <w:szCs w:val="24"/>
        </w:rPr>
        <w:t>to make</w:t>
      </w:r>
      <w:r w:rsidR="000F45B2">
        <w:rPr>
          <w:rFonts w:cs="Times New Roman"/>
          <w:szCs w:val="24"/>
        </w:rPr>
        <w:t xml:space="preserve"> sense of the texts </w:t>
      </w:r>
      <w:r w:rsidR="00106744">
        <w:rPr>
          <w:rFonts w:cs="Times New Roman"/>
          <w:szCs w:val="24"/>
        </w:rPr>
        <w:t xml:space="preserve">of these speakers, we </w:t>
      </w:r>
      <w:r w:rsidR="00B375B4">
        <w:rPr>
          <w:rFonts w:cs="Times New Roman"/>
          <w:szCs w:val="24"/>
        </w:rPr>
        <w:t xml:space="preserve">will </w:t>
      </w:r>
      <w:r w:rsidR="00333F1B">
        <w:rPr>
          <w:rFonts w:cs="Times New Roman"/>
          <w:szCs w:val="24"/>
        </w:rPr>
        <w:t xml:space="preserve">find their linguistic behavior </w:t>
      </w:r>
      <w:r w:rsidR="00106744">
        <w:rPr>
          <w:rFonts w:cs="Times New Roman"/>
          <w:szCs w:val="24"/>
        </w:rPr>
        <w:t>inexplicable: there is no way to seamlessly replace our understanding with theirs</w:t>
      </w:r>
      <w:r w:rsidR="00B375B4">
        <w:rPr>
          <w:rFonts w:cs="Times New Roman"/>
          <w:szCs w:val="24"/>
        </w:rPr>
        <w:t xml:space="preserve"> without losing the ability to make sense of their linguistic behavior</w:t>
      </w:r>
      <w:r w:rsidR="00106744">
        <w:rPr>
          <w:rFonts w:cs="Times New Roman"/>
          <w:szCs w:val="24"/>
        </w:rPr>
        <w:t>.</w:t>
      </w:r>
      <w:r w:rsidR="00B375B4">
        <w:rPr>
          <w:rFonts w:cs="Times New Roman"/>
          <w:szCs w:val="24"/>
        </w:rPr>
        <w:t xml:space="preserve"> Carnap, in other words, is saying we must go bilingual</w:t>
      </w:r>
      <w:r w:rsidR="001127C7">
        <w:rPr>
          <w:rFonts w:cs="Times New Roman"/>
          <w:szCs w:val="24"/>
        </w:rPr>
        <w:t xml:space="preserve"> here and ascribe different concepts to these speakers.</w:t>
      </w:r>
    </w:p>
    <w:p w14:paraId="30178590" w14:textId="77777777" w:rsidR="00106744" w:rsidRPr="00106744" w:rsidRDefault="00106744" w:rsidP="00347D04">
      <w:pPr>
        <w:autoSpaceDE w:val="0"/>
        <w:autoSpaceDN w:val="0"/>
        <w:adjustRightInd w:val="0"/>
        <w:spacing w:line="240" w:lineRule="auto"/>
        <w:rPr>
          <w:rFonts w:cs="Times New Roman"/>
          <w:szCs w:val="24"/>
        </w:rPr>
      </w:pPr>
      <w:r w:rsidRPr="00106744">
        <w:rPr>
          <w:rFonts w:cs="Times New Roman"/>
          <w:szCs w:val="24"/>
        </w:rPr>
        <w:tab/>
        <w:t xml:space="preserve">It is striking how confident Carnap is in his conclusion: there </w:t>
      </w:r>
      <w:r w:rsidRPr="005014B1">
        <w:rPr>
          <w:rFonts w:cs="Times New Roman"/>
          <w:i/>
          <w:szCs w:val="24"/>
        </w:rPr>
        <w:t>must</w:t>
      </w:r>
      <w:r w:rsidRPr="00106744">
        <w:rPr>
          <w:rFonts w:cs="Times New Roman"/>
          <w:szCs w:val="24"/>
        </w:rPr>
        <w:t xml:space="preserve"> be a conceptual change </w:t>
      </w:r>
      <w:r w:rsidR="00333F1B">
        <w:rPr>
          <w:rFonts w:cs="Times New Roman"/>
          <w:szCs w:val="24"/>
        </w:rPr>
        <w:t>in this case</w:t>
      </w:r>
      <w:r w:rsidRPr="00106744">
        <w:rPr>
          <w:rFonts w:cs="Times New Roman"/>
          <w:szCs w:val="24"/>
        </w:rPr>
        <w:t xml:space="preserve"> because the failure of translation shows that </w:t>
      </w:r>
      <w:r w:rsidR="000F45B2">
        <w:rPr>
          <w:rFonts w:cs="Times New Roman"/>
          <w:szCs w:val="24"/>
        </w:rPr>
        <w:t>the notion that we could be</w:t>
      </w:r>
      <w:r w:rsidRPr="00106744">
        <w:rPr>
          <w:rFonts w:cs="Times New Roman"/>
          <w:szCs w:val="24"/>
        </w:rPr>
        <w:t xml:space="preserve"> </w:t>
      </w:r>
      <w:proofErr w:type="spellStart"/>
      <w:r w:rsidRPr="00106744">
        <w:rPr>
          <w:rFonts w:cs="Times New Roman"/>
          <w:szCs w:val="24"/>
        </w:rPr>
        <w:t>samesaying</w:t>
      </w:r>
      <w:proofErr w:type="spellEnd"/>
      <w:r w:rsidRPr="00106744">
        <w:rPr>
          <w:rFonts w:cs="Times New Roman"/>
          <w:szCs w:val="24"/>
        </w:rPr>
        <w:t xml:space="preserve"> with these earlier speakers</w:t>
      </w:r>
      <w:r w:rsidR="00C769C0">
        <w:rPr>
          <w:rFonts w:cs="Times New Roman"/>
          <w:szCs w:val="24"/>
        </w:rPr>
        <w:t xml:space="preserve"> is “</w:t>
      </w:r>
      <w:r w:rsidRPr="00333F1B">
        <w:rPr>
          <w:rFonts w:cs="Times New Roman"/>
          <w:i/>
          <w:szCs w:val="24"/>
        </w:rPr>
        <w:t>obviously</w:t>
      </w:r>
      <w:r w:rsidRPr="00106744">
        <w:rPr>
          <w:rFonts w:cs="Times New Roman"/>
          <w:szCs w:val="24"/>
        </w:rPr>
        <w:t xml:space="preserve"> not the case”</w:t>
      </w:r>
      <w:r w:rsidR="00333F1B">
        <w:rPr>
          <w:rFonts w:cs="Times New Roman"/>
          <w:szCs w:val="24"/>
        </w:rPr>
        <w:t xml:space="preserve"> (emphasis mine)</w:t>
      </w:r>
      <w:r>
        <w:rPr>
          <w:rFonts w:cs="Times New Roman"/>
          <w:szCs w:val="24"/>
        </w:rPr>
        <w:t xml:space="preserve">. </w:t>
      </w:r>
      <w:r w:rsidR="00CB7190">
        <w:rPr>
          <w:rFonts w:cs="Times New Roman"/>
          <w:szCs w:val="24"/>
        </w:rPr>
        <w:t xml:space="preserve">But </w:t>
      </w:r>
      <w:proofErr w:type="spellStart"/>
      <w:r w:rsidR="00CB7190">
        <w:rPr>
          <w:rFonts w:cs="Times New Roman"/>
          <w:szCs w:val="24"/>
        </w:rPr>
        <w:t>Tanesini</w:t>
      </w:r>
      <w:proofErr w:type="spellEnd"/>
      <w:r w:rsidR="00CB7190">
        <w:rPr>
          <w:rFonts w:cs="Times New Roman"/>
          <w:szCs w:val="24"/>
        </w:rPr>
        <w:t xml:space="preserve"> is equally confident in her conclusion</w:t>
      </w:r>
      <w:r w:rsidR="000F45B2">
        <w:rPr>
          <w:rFonts w:cs="Times New Roman"/>
          <w:szCs w:val="24"/>
        </w:rPr>
        <w:t>:</w:t>
      </w:r>
      <w:r w:rsidR="00CB7190">
        <w:rPr>
          <w:rFonts w:cs="Times New Roman"/>
          <w:szCs w:val="24"/>
        </w:rPr>
        <w:t xml:space="preserve"> it would be absurd to say that</w:t>
      </w:r>
      <w:r w:rsidR="000F45B2">
        <w:rPr>
          <w:rFonts w:cs="Times New Roman"/>
          <w:szCs w:val="24"/>
        </w:rPr>
        <w:t xml:space="preserve">, </w:t>
      </w:r>
      <w:r w:rsidR="00333F1B">
        <w:rPr>
          <w:rFonts w:cs="Times New Roman"/>
          <w:szCs w:val="24"/>
        </w:rPr>
        <w:t>instead of speakers making</w:t>
      </w:r>
      <w:r w:rsidR="000F45B2">
        <w:rPr>
          <w:rFonts w:cs="Times New Roman"/>
          <w:szCs w:val="24"/>
        </w:rPr>
        <w:t xml:space="preserve"> </w:t>
      </w:r>
      <w:r w:rsidR="00333F1B">
        <w:rPr>
          <w:rFonts w:cs="Times New Roman"/>
          <w:szCs w:val="24"/>
        </w:rPr>
        <w:t>straightforward empirical errors,</w:t>
      </w:r>
      <w:r w:rsidR="000F45B2">
        <w:rPr>
          <w:rFonts w:cs="Times New Roman"/>
          <w:szCs w:val="24"/>
        </w:rPr>
        <w:t xml:space="preserve"> they </w:t>
      </w:r>
      <w:r w:rsidR="00333F1B">
        <w:rPr>
          <w:rFonts w:cs="Times New Roman"/>
          <w:szCs w:val="24"/>
        </w:rPr>
        <w:t>were somehow</w:t>
      </w:r>
      <w:r w:rsidR="000F45B2">
        <w:rPr>
          <w:rFonts w:cs="Times New Roman"/>
          <w:szCs w:val="24"/>
        </w:rPr>
        <w:t xml:space="preserve"> plagued by a confusion about th</w:t>
      </w:r>
      <w:r w:rsidR="004B433D">
        <w:rPr>
          <w:rFonts w:cs="Times New Roman"/>
          <w:szCs w:val="24"/>
        </w:rPr>
        <w:t>e status of their own language.</w:t>
      </w:r>
      <w:r w:rsidR="00CB7190">
        <w:rPr>
          <w:rFonts w:cs="Times New Roman"/>
          <w:szCs w:val="24"/>
        </w:rPr>
        <w:t xml:space="preserve"> </w:t>
      </w:r>
      <w:r w:rsidR="001156C0">
        <w:rPr>
          <w:rFonts w:cs="Times New Roman"/>
          <w:szCs w:val="24"/>
        </w:rPr>
        <w:t>How should we explain this striking discrepancy</w:t>
      </w:r>
      <w:r w:rsidR="004B433D">
        <w:rPr>
          <w:rFonts w:cs="Times New Roman"/>
          <w:szCs w:val="24"/>
        </w:rPr>
        <w:t xml:space="preserve"> in these two philosophers’ </w:t>
      </w:r>
      <w:proofErr w:type="spellStart"/>
      <w:r w:rsidR="004B433D">
        <w:rPr>
          <w:rFonts w:cs="Times New Roman"/>
          <w:szCs w:val="24"/>
        </w:rPr>
        <w:t>metasem</w:t>
      </w:r>
      <w:r w:rsidR="003F3EE9">
        <w:rPr>
          <w:rFonts w:cs="Times New Roman"/>
          <w:szCs w:val="24"/>
        </w:rPr>
        <w:t>a</w:t>
      </w:r>
      <w:r w:rsidR="004B433D">
        <w:rPr>
          <w:rFonts w:cs="Times New Roman"/>
          <w:szCs w:val="24"/>
        </w:rPr>
        <w:t>ntic</w:t>
      </w:r>
      <w:proofErr w:type="spellEnd"/>
      <w:r w:rsidR="004B433D">
        <w:rPr>
          <w:rFonts w:cs="Times New Roman"/>
          <w:szCs w:val="24"/>
        </w:rPr>
        <w:t xml:space="preserve"> conclusions</w:t>
      </w:r>
      <w:r w:rsidR="001156C0">
        <w:rPr>
          <w:rFonts w:cs="Times New Roman"/>
          <w:szCs w:val="24"/>
        </w:rPr>
        <w:t xml:space="preserve">? My diagnosis is the one I have defended throughout this paper – the one I applied to the differences between Kuhn and Rouse in </w:t>
      </w:r>
      <w:r w:rsidR="00333F1B">
        <w:rPr>
          <w:rFonts w:cs="Times New Roman"/>
          <w:szCs w:val="24"/>
        </w:rPr>
        <w:t xml:space="preserve">section </w:t>
      </w:r>
      <w:r w:rsidR="001156C0">
        <w:rPr>
          <w:rFonts w:cs="Times New Roman"/>
          <w:szCs w:val="24"/>
        </w:rPr>
        <w:t xml:space="preserve">(iii) and to the differences between our imaginary historian and </w:t>
      </w:r>
      <w:r w:rsidR="005E23FD">
        <w:rPr>
          <w:rFonts w:cs="Times New Roman"/>
          <w:szCs w:val="24"/>
        </w:rPr>
        <w:t xml:space="preserve">the proponents/opponents of gay marriage </w:t>
      </w:r>
      <w:r w:rsidR="000F45B2">
        <w:rPr>
          <w:rFonts w:cs="Times New Roman"/>
          <w:szCs w:val="24"/>
        </w:rPr>
        <w:t xml:space="preserve">earlier in this section. Carnap and </w:t>
      </w:r>
      <w:proofErr w:type="spellStart"/>
      <w:r w:rsidR="000F45B2">
        <w:rPr>
          <w:rFonts w:cs="Times New Roman"/>
          <w:szCs w:val="24"/>
        </w:rPr>
        <w:t>Tanesini</w:t>
      </w:r>
      <w:proofErr w:type="spellEnd"/>
      <w:r w:rsidR="005E23FD">
        <w:rPr>
          <w:rFonts w:cs="Times New Roman"/>
          <w:szCs w:val="24"/>
        </w:rPr>
        <w:t xml:space="preserve"> </w:t>
      </w:r>
      <w:r w:rsidR="000F45B2">
        <w:rPr>
          <w:rFonts w:cs="Times New Roman"/>
          <w:szCs w:val="24"/>
        </w:rPr>
        <w:t>have in mind</w:t>
      </w:r>
      <w:r w:rsidR="005E23FD">
        <w:rPr>
          <w:rFonts w:cs="Times New Roman"/>
          <w:szCs w:val="24"/>
        </w:rPr>
        <w:t xml:space="preserve"> di</w:t>
      </w:r>
      <w:r w:rsidR="000F45B2">
        <w:rPr>
          <w:rFonts w:cs="Times New Roman"/>
          <w:szCs w:val="24"/>
        </w:rPr>
        <w:t xml:space="preserve">fferent perspectives on how speakers engage linguistically with one another. </w:t>
      </w:r>
      <w:r w:rsidR="005E23FD">
        <w:rPr>
          <w:rFonts w:cs="Times New Roman"/>
          <w:szCs w:val="24"/>
        </w:rPr>
        <w:t xml:space="preserve">Different perspectives, I have shown, lend themselves to drawing different </w:t>
      </w:r>
      <w:proofErr w:type="spellStart"/>
      <w:r w:rsidR="005E23FD">
        <w:rPr>
          <w:rFonts w:cs="Times New Roman"/>
          <w:szCs w:val="24"/>
        </w:rPr>
        <w:t>metasemantic</w:t>
      </w:r>
      <w:proofErr w:type="spellEnd"/>
      <w:r w:rsidR="005E23FD">
        <w:rPr>
          <w:rFonts w:cs="Times New Roman"/>
          <w:szCs w:val="24"/>
        </w:rPr>
        <w:t xml:space="preserve"> conclusions about </w:t>
      </w:r>
      <w:proofErr w:type="spellStart"/>
      <w:r w:rsidR="005E23FD">
        <w:rPr>
          <w:rFonts w:cs="Times New Roman"/>
          <w:szCs w:val="24"/>
        </w:rPr>
        <w:t>samesaying</w:t>
      </w:r>
      <w:proofErr w:type="spellEnd"/>
      <w:r w:rsidR="005E23FD">
        <w:rPr>
          <w:rFonts w:cs="Times New Roman"/>
          <w:szCs w:val="24"/>
        </w:rPr>
        <w:t xml:space="preserve"> and conceptual change. </w:t>
      </w:r>
      <w:proofErr w:type="spellStart"/>
      <w:r w:rsidR="000F45B2">
        <w:rPr>
          <w:rFonts w:cs="Times New Roman"/>
          <w:szCs w:val="24"/>
        </w:rPr>
        <w:t>Carnap’s</w:t>
      </w:r>
      <w:proofErr w:type="spellEnd"/>
      <w:r w:rsidR="000F45B2">
        <w:rPr>
          <w:rFonts w:cs="Times New Roman"/>
          <w:szCs w:val="24"/>
        </w:rPr>
        <w:t xml:space="preserve"> retrospective </w:t>
      </w:r>
      <w:proofErr w:type="spellStart"/>
      <w:r w:rsidR="000F45B2">
        <w:rPr>
          <w:rFonts w:cs="Times New Roman"/>
          <w:szCs w:val="24"/>
        </w:rPr>
        <w:t>internalism</w:t>
      </w:r>
      <w:proofErr w:type="spellEnd"/>
      <w:r w:rsidR="000F45B2">
        <w:rPr>
          <w:rFonts w:cs="Times New Roman"/>
          <w:szCs w:val="24"/>
        </w:rPr>
        <w:t xml:space="preserve"> here, where he aims to get the linguistic behavior of these earlier speakers right, </w:t>
      </w:r>
      <w:r w:rsidR="00333F1B">
        <w:rPr>
          <w:rFonts w:cs="Times New Roman"/>
          <w:szCs w:val="24"/>
        </w:rPr>
        <w:t>lends itself to</w:t>
      </w:r>
      <w:r w:rsidR="000F45B2">
        <w:rPr>
          <w:rFonts w:cs="Times New Roman"/>
          <w:szCs w:val="24"/>
        </w:rPr>
        <w:t xml:space="preserve"> verdicts of conceptual change and a lack of </w:t>
      </w:r>
      <w:proofErr w:type="spellStart"/>
      <w:r w:rsidR="000F45B2">
        <w:rPr>
          <w:rFonts w:cs="Times New Roman"/>
          <w:szCs w:val="24"/>
        </w:rPr>
        <w:t>samesaying</w:t>
      </w:r>
      <w:proofErr w:type="spellEnd"/>
      <w:r w:rsidR="00333F1B">
        <w:rPr>
          <w:rFonts w:cs="Times New Roman"/>
          <w:szCs w:val="24"/>
        </w:rPr>
        <w:t xml:space="preserve"> among the target speakers</w:t>
      </w:r>
      <w:r w:rsidR="000F45B2">
        <w:rPr>
          <w:rFonts w:cs="Times New Roman"/>
          <w:szCs w:val="24"/>
        </w:rPr>
        <w:t xml:space="preserve">. The prospective externalist perspective </w:t>
      </w:r>
      <w:proofErr w:type="spellStart"/>
      <w:r w:rsidR="000F45B2">
        <w:rPr>
          <w:rFonts w:cs="Times New Roman"/>
          <w:szCs w:val="24"/>
        </w:rPr>
        <w:t>Tanesini</w:t>
      </w:r>
      <w:proofErr w:type="spellEnd"/>
      <w:r w:rsidR="000F45B2">
        <w:rPr>
          <w:rFonts w:cs="Times New Roman"/>
          <w:szCs w:val="24"/>
        </w:rPr>
        <w:t xml:space="preserve"> has in mind</w:t>
      </w:r>
      <w:r w:rsidR="00333F1B">
        <w:rPr>
          <w:rFonts w:cs="Times New Roman"/>
          <w:szCs w:val="24"/>
        </w:rPr>
        <w:t>,</w:t>
      </w:r>
      <w:r w:rsidR="000F45B2">
        <w:rPr>
          <w:rFonts w:cs="Times New Roman"/>
          <w:szCs w:val="24"/>
        </w:rPr>
        <w:t xml:space="preserve"> where speakers are aiming to get a certain concept/topic correct</w:t>
      </w:r>
      <w:r w:rsidR="00333F1B">
        <w:rPr>
          <w:rFonts w:cs="Times New Roman"/>
          <w:szCs w:val="24"/>
        </w:rPr>
        <w:t xml:space="preserve">, is one where </w:t>
      </w:r>
      <w:proofErr w:type="spellStart"/>
      <w:r w:rsidR="00333F1B">
        <w:rPr>
          <w:rFonts w:cs="Times New Roman"/>
          <w:szCs w:val="24"/>
        </w:rPr>
        <w:t>samesaying</w:t>
      </w:r>
      <w:proofErr w:type="spellEnd"/>
      <w:r w:rsidR="00333F1B">
        <w:rPr>
          <w:rFonts w:cs="Times New Roman"/>
          <w:szCs w:val="24"/>
        </w:rPr>
        <w:t xml:space="preserve"> is taken to persist</w:t>
      </w:r>
      <w:r w:rsidR="000F45B2">
        <w:rPr>
          <w:rFonts w:cs="Times New Roman"/>
          <w:szCs w:val="24"/>
        </w:rPr>
        <w:t xml:space="preserve"> across </w:t>
      </w:r>
      <w:r w:rsidR="00BF719C">
        <w:rPr>
          <w:rFonts w:cs="Times New Roman"/>
          <w:szCs w:val="24"/>
        </w:rPr>
        <w:t>disparate</w:t>
      </w:r>
      <w:r w:rsidR="000F45B2">
        <w:rPr>
          <w:rFonts w:cs="Times New Roman"/>
          <w:szCs w:val="24"/>
        </w:rPr>
        <w:t xml:space="preserve"> understandings and </w:t>
      </w:r>
      <w:r w:rsidR="00333F1B">
        <w:rPr>
          <w:rFonts w:cs="Times New Roman"/>
          <w:szCs w:val="24"/>
        </w:rPr>
        <w:t>verdicts of</w:t>
      </w:r>
      <w:r w:rsidR="000F45B2">
        <w:rPr>
          <w:rFonts w:cs="Times New Roman"/>
          <w:szCs w:val="24"/>
        </w:rPr>
        <w:t xml:space="preserve"> conceptual change </w:t>
      </w:r>
      <w:r w:rsidR="00333F1B">
        <w:rPr>
          <w:rFonts w:cs="Times New Roman"/>
          <w:szCs w:val="24"/>
        </w:rPr>
        <w:t>are</w:t>
      </w:r>
      <w:r w:rsidR="000F45B2">
        <w:rPr>
          <w:rFonts w:cs="Times New Roman"/>
          <w:szCs w:val="24"/>
        </w:rPr>
        <w:t xml:space="preserve"> met with skepticism.</w:t>
      </w:r>
    </w:p>
    <w:p w14:paraId="116BBCC2" w14:textId="77777777" w:rsidR="00622D7B" w:rsidRDefault="000F45B2">
      <w:r>
        <w:tab/>
      </w:r>
      <w:r w:rsidR="00622D7B">
        <w:t xml:space="preserve">Sawyer and </w:t>
      </w:r>
      <w:proofErr w:type="spellStart"/>
      <w:r w:rsidR="00622D7B">
        <w:t>Cappelen</w:t>
      </w:r>
      <w:proofErr w:type="spellEnd"/>
      <w:r w:rsidR="00622D7B">
        <w:t>, then, are certainly not alone in taking a certain perspective on our linguistic activity for granted and then extrapolating va</w:t>
      </w:r>
      <w:r w:rsidR="00281C72">
        <w:t xml:space="preserve">rious </w:t>
      </w:r>
      <w:proofErr w:type="spellStart"/>
      <w:r w:rsidR="00281C72">
        <w:t>metasemantic</w:t>
      </w:r>
      <w:proofErr w:type="spellEnd"/>
      <w:r w:rsidR="00281C72">
        <w:t xml:space="preserve"> conclusions. </w:t>
      </w:r>
      <w:r w:rsidR="00622D7B">
        <w:t xml:space="preserve">What I have shown in this paper is that we can avoid the problems that inevitably arise for </w:t>
      </w:r>
      <w:r w:rsidR="00333F1B">
        <w:t xml:space="preserve">all of </w:t>
      </w:r>
      <w:r w:rsidR="00622D7B">
        <w:t xml:space="preserve">these approaches – in particular, </w:t>
      </w:r>
      <w:r w:rsidR="00333F1B">
        <w:t xml:space="preserve">the worries that arise of </w:t>
      </w:r>
      <w:proofErr w:type="spellStart"/>
      <w:r w:rsidR="00622D7B">
        <w:t>hypostatzing</w:t>
      </w:r>
      <w:proofErr w:type="spellEnd"/>
      <w:r w:rsidR="00622D7B">
        <w:t xml:space="preserve"> and inflating our </w:t>
      </w:r>
      <w:proofErr w:type="spellStart"/>
      <w:r w:rsidR="00622D7B">
        <w:t>metasemantic</w:t>
      </w:r>
      <w:proofErr w:type="spellEnd"/>
      <w:r w:rsidR="00622D7B">
        <w:t xml:space="preserve"> categories</w:t>
      </w:r>
      <w:r w:rsidR="00281C72">
        <w:t xml:space="preserve"> (worries these authors themselves</w:t>
      </w:r>
      <w:r w:rsidR="001B5BE0">
        <w:t xml:space="preserve"> raise</w:t>
      </w:r>
      <w:r w:rsidR="00281C72">
        <w:t>)</w:t>
      </w:r>
      <w:r w:rsidR="00622D7B">
        <w:t xml:space="preserve"> – by closely investigating the different perspectives speakers adopt on their linguistic engagement with others. When we do so, we find that there </w:t>
      </w:r>
      <w:r w:rsidR="0082475D">
        <w:t>is</w:t>
      </w:r>
      <w:r w:rsidR="00622D7B">
        <w:t xml:space="preserve"> in fact a </w:t>
      </w:r>
      <w:r w:rsidR="00CE1089">
        <w:t>variety</w:t>
      </w:r>
      <w:r w:rsidR="00622D7B">
        <w:t xml:space="preserve"> of </w:t>
      </w:r>
      <w:proofErr w:type="spellStart"/>
      <w:r w:rsidR="00622D7B">
        <w:t>metasemantic</w:t>
      </w:r>
      <w:proofErr w:type="spellEnd"/>
      <w:r w:rsidR="00622D7B">
        <w:t xml:space="preserve"> conclusions to be drawn about any particular case – that </w:t>
      </w:r>
      <w:r w:rsidR="001B5BE0">
        <w:t xml:space="preserve">from </w:t>
      </w:r>
      <w:r w:rsidR="00CE1089">
        <w:t xml:space="preserve">at least </w:t>
      </w:r>
      <w:r w:rsidR="001B5BE0">
        <w:t>one perspective</w:t>
      </w:r>
      <w:r w:rsidR="00622D7B">
        <w:t xml:space="preserve">, it will make sense to </w:t>
      </w:r>
      <w:r w:rsidR="00333F1B">
        <w:t xml:space="preserve">judge that </w:t>
      </w:r>
      <w:proofErr w:type="spellStart"/>
      <w:r w:rsidR="00333F1B">
        <w:t>samesaying</w:t>
      </w:r>
      <w:proofErr w:type="spellEnd"/>
      <w:r w:rsidR="00333F1B">
        <w:t xml:space="preserve"> obtains and conceptual change does not</w:t>
      </w:r>
      <w:r w:rsidR="0082475D">
        <w:t>,</w:t>
      </w:r>
      <w:r w:rsidR="00333F1B">
        <w:t xml:space="preserve"> </w:t>
      </w:r>
      <w:r w:rsidR="00CE1089">
        <w:t xml:space="preserve">while </w:t>
      </w:r>
      <w:r w:rsidR="00333F1B">
        <w:t>from another</w:t>
      </w:r>
      <w:r w:rsidR="0082475D">
        <w:t xml:space="preserve"> perspective</w:t>
      </w:r>
      <w:r w:rsidR="00333F1B">
        <w:t>, it will make sense to deny this judgment.</w:t>
      </w:r>
      <w:r w:rsidR="00AD4CC1">
        <w:rPr>
          <w:rStyle w:val="FootnoteReference"/>
        </w:rPr>
        <w:footnoteReference w:id="16"/>
      </w:r>
      <w:r w:rsidR="00333F1B">
        <w:t xml:space="preserve"> </w:t>
      </w:r>
    </w:p>
    <w:p w14:paraId="6D3510FA" w14:textId="77777777" w:rsidR="00E15A4F" w:rsidRDefault="00E15A4F">
      <w:pPr>
        <w:rPr>
          <w:b/>
          <w:u w:val="single"/>
        </w:rPr>
      </w:pPr>
    </w:p>
    <w:p w14:paraId="35243D40" w14:textId="77777777" w:rsidR="00277E46" w:rsidRDefault="00277E46">
      <w:pPr>
        <w:rPr>
          <w:b/>
          <w:u w:val="single"/>
        </w:rPr>
      </w:pPr>
    </w:p>
    <w:p w14:paraId="27D930FF" w14:textId="2196E6E2" w:rsidR="00620F8C" w:rsidRDefault="00E97FAC">
      <w:r>
        <w:rPr>
          <w:b/>
          <w:u w:val="single"/>
        </w:rPr>
        <w:lastRenderedPageBreak/>
        <w:t>References</w:t>
      </w:r>
    </w:p>
    <w:p w14:paraId="523968F3" w14:textId="77777777" w:rsidR="00E97FAC" w:rsidRDefault="00E97FAC">
      <w:pPr>
        <w:rPr>
          <w:sz w:val="20"/>
          <w:szCs w:val="20"/>
        </w:rPr>
      </w:pPr>
    </w:p>
    <w:p w14:paraId="7F7C0299" w14:textId="77777777" w:rsidR="00E97FAC" w:rsidRPr="00BC0E76" w:rsidRDefault="00E97FAC" w:rsidP="00E97FAC">
      <w:pPr>
        <w:rPr>
          <w:sz w:val="20"/>
          <w:szCs w:val="20"/>
        </w:rPr>
      </w:pPr>
      <w:proofErr w:type="spellStart"/>
      <w:r w:rsidRPr="00BC0E76">
        <w:rPr>
          <w:sz w:val="20"/>
          <w:szCs w:val="20"/>
        </w:rPr>
        <w:t>Cappelen</w:t>
      </w:r>
      <w:proofErr w:type="spellEnd"/>
      <w:r w:rsidRPr="00BC0E76">
        <w:rPr>
          <w:sz w:val="20"/>
          <w:szCs w:val="20"/>
        </w:rPr>
        <w:t xml:space="preserve">, H. (2018). </w:t>
      </w:r>
      <w:r w:rsidRPr="00BC0E76">
        <w:rPr>
          <w:i/>
          <w:sz w:val="20"/>
          <w:szCs w:val="20"/>
        </w:rPr>
        <w:t>Fixing Language: An Essay on Conceptual Engineering</w:t>
      </w:r>
      <w:r w:rsidRPr="00BC0E76">
        <w:rPr>
          <w:sz w:val="20"/>
          <w:szCs w:val="20"/>
        </w:rPr>
        <w:t>. Oxford: Oxford University Press.</w:t>
      </w:r>
    </w:p>
    <w:p w14:paraId="537C9CFE" w14:textId="77777777" w:rsidR="00BC0E76" w:rsidRDefault="001271E7" w:rsidP="00E97FAC">
      <w:pPr>
        <w:rPr>
          <w:sz w:val="20"/>
          <w:szCs w:val="20"/>
        </w:rPr>
      </w:pPr>
      <w:r w:rsidRPr="00BC0E76">
        <w:rPr>
          <w:sz w:val="20"/>
          <w:szCs w:val="20"/>
        </w:rPr>
        <w:t xml:space="preserve">— (forthcoming). “Conceptual Engineering, Topics, </w:t>
      </w:r>
      <w:proofErr w:type="spellStart"/>
      <w:r w:rsidRPr="00BC0E76">
        <w:rPr>
          <w:sz w:val="20"/>
          <w:szCs w:val="20"/>
        </w:rPr>
        <w:t>Metasemantics</w:t>
      </w:r>
      <w:proofErr w:type="spellEnd"/>
      <w:r w:rsidRPr="00BC0E76">
        <w:rPr>
          <w:sz w:val="20"/>
          <w:szCs w:val="20"/>
        </w:rPr>
        <w:t xml:space="preserve">, and Lack of Control: Responses to Sarah Sawyer, </w:t>
      </w:r>
    </w:p>
    <w:p w14:paraId="6E9FAE63" w14:textId="77777777" w:rsidR="001271E7" w:rsidRPr="006D63A3" w:rsidRDefault="001271E7" w:rsidP="00BC0E76">
      <w:pPr>
        <w:ind w:firstLine="720"/>
        <w:rPr>
          <w:rFonts w:cs="Times New Roman"/>
          <w:sz w:val="20"/>
          <w:szCs w:val="20"/>
        </w:rPr>
      </w:pPr>
      <w:r w:rsidRPr="00BC0E76">
        <w:rPr>
          <w:sz w:val="20"/>
          <w:szCs w:val="20"/>
        </w:rPr>
        <w:t xml:space="preserve">Laura </w:t>
      </w:r>
      <w:proofErr w:type="spellStart"/>
      <w:r w:rsidRPr="00BC0E76">
        <w:rPr>
          <w:sz w:val="20"/>
          <w:szCs w:val="20"/>
        </w:rPr>
        <w:t>Schroeter</w:t>
      </w:r>
      <w:proofErr w:type="spellEnd"/>
      <w:r w:rsidRPr="00BC0E76">
        <w:rPr>
          <w:sz w:val="20"/>
          <w:szCs w:val="20"/>
        </w:rPr>
        <w:t xml:space="preserve">, François </w:t>
      </w:r>
      <w:proofErr w:type="spellStart"/>
      <w:r w:rsidRPr="00BC0E76">
        <w:rPr>
          <w:sz w:val="20"/>
          <w:szCs w:val="20"/>
        </w:rPr>
        <w:t>Schroeter</w:t>
      </w:r>
      <w:proofErr w:type="spellEnd"/>
      <w:r w:rsidRPr="00BC0E76">
        <w:rPr>
          <w:sz w:val="20"/>
          <w:szCs w:val="20"/>
        </w:rPr>
        <w:t xml:space="preserve">, and Tim </w:t>
      </w:r>
      <w:proofErr w:type="spellStart"/>
      <w:r w:rsidRPr="00BC0E76">
        <w:rPr>
          <w:sz w:val="20"/>
          <w:szCs w:val="20"/>
        </w:rPr>
        <w:t>Sundell</w:t>
      </w:r>
      <w:proofErr w:type="spellEnd"/>
      <w:r w:rsidRPr="00BC0E76">
        <w:rPr>
          <w:sz w:val="20"/>
          <w:szCs w:val="20"/>
        </w:rPr>
        <w:t xml:space="preserve">.” </w:t>
      </w:r>
      <w:r w:rsidRPr="00BC0E76">
        <w:rPr>
          <w:i/>
          <w:iCs/>
          <w:sz w:val="20"/>
          <w:szCs w:val="20"/>
        </w:rPr>
        <w:t>The Canadian Journal of Philosophy</w:t>
      </w:r>
      <w:r w:rsidR="006D63A3">
        <w:rPr>
          <w:sz w:val="20"/>
          <w:szCs w:val="20"/>
        </w:rPr>
        <w:t>.</w:t>
      </w:r>
    </w:p>
    <w:p w14:paraId="7EF1FE4D" w14:textId="77777777" w:rsidR="00132531" w:rsidRPr="00BC0E76" w:rsidRDefault="00132531" w:rsidP="00E97FAC">
      <w:pPr>
        <w:rPr>
          <w:rFonts w:cs="Times New Roman"/>
          <w:sz w:val="20"/>
          <w:szCs w:val="20"/>
        </w:rPr>
      </w:pPr>
      <w:r w:rsidRPr="00BC0E76">
        <w:rPr>
          <w:rFonts w:cs="Times New Roman"/>
          <w:sz w:val="20"/>
          <w:szCs w:val="20"/>
        </w:rPr>
        <w:t xml:space="preserve">Carnap, R. (1962). </w:t>
      </w:r>
      <w:r w:rsidRPr="00BC0E76">
        <w:rPr>
          <w:rFonts w:cs="Times New Roman"/>
          <w:i/>
          <w:sz w:val="20"/>
          <w:szCs w:val="20"/>
        </w:rPr>
        <w:t>Logical Foundations of Probability</w:t>
      </w:r>
      <w:r w:rsidRPr="00BC0E76">
        <w:rPr>
          <w:rFonts w:cs="Times New Roman"/>
          <w:sz w:val="20"/>
          <w:szCs w:val="20"/>
        </w:rPr>
        <w:t xml:space="preserve">. Chicago: The University of Chicago Press. </w:t>
      </w:r>
    </w:p>
    <w:p w14:paraId="24B5D75F" w14:textId="77777777" w:rsidR="0088066C" w:rsidRPr="00BC0E76" w:rsidRDefault="0088066C" w:rsidP="00E97FAC">
      <w:pPr>
        <w:rPr>
          <w:sz w:val="20"/>
          <w:szCs w:val="20"/>
        </w:rPr>
      </w:pPr>
      <w:r w:rsidRPr="00BC0E76">
        <w:rPr>
          <w:sz w:val="20"/>
          <w:szCs w:val="20"/>
        </w:rPr>
        <w:t xml:space="preserve">Dennett, D.C. (1987). </w:t>
      </w:r>
      <w:r w:rsidRPr="00BC0E76">
        <w:rPr>
          <w:i/>
          <w:sz w:val="20"/>
          <w:szCs w:val="20"/>
        </w:rPr>
        <w:t>The Intentional Stance</w:t>
      </w:r>
      <w:r w:rsidRPr="00BC0E76">
        <w:rPr>
          <w:sz w:val="20"/>
          <w:szCs w:val="20"/>
        </w:rPr>
        <w:t>. Cambridge, MA: The MIT Press.</w:t>
      </w:r>
    </w:p>
    <w:p w14:paraId="6F1413AD" w14:textId="77777777" w:rsidR="00802815" w:rsidRPr="00BC0E76" w:rsidRDefault="0070711B" w:rsidP="00802815">
      <w:pPr>
        <w:rPr>
          <w:sz w:val="20"/>
          <w:szCs w:val="20"/>
        </w:rPr>
      </w:pPr>
      <w:r w:rsidRPr="00BC0E76">
        <w:rPr>
          <w:sz w:val="20"/>
          <w:szCs w:val="20"/>
        </w:rPr>
        <w:t>Kuhn, T.S. (1970/2012</w:t>
      </w:r>
      <w:r w:rsidR="00E97FAC" w:rsidRPr="00BC0E76">
        <w:rPr>
          <w:sz w:val="20"/>
          <w:szCs w:val="20"/>
        </w:rPr>
        <w:t xml:space="preserve">). </w:t>
      </w:r>
      <w:r w:rsidR="00E97FAC" w:rsidRPr="00BC0E76">
        <w:rPr>
          <w:i/>
          <w:sz w:val="20"/>
          <w:szCs w:val="20"/>
        </w:rPr>
        <w:t xml:space="preserve">The </w:t>
      </w:r>
      <w:r w:rsidR="00802815" w:rsidRPr="00BC0E76">
        <w:rPr>
          <w:i/>
          <w:sz w:val="20"/>
          <w:szCs w:val="20"/>
        </w:rPr>
        <w:t>Structure of Scientific Revolutions</w:t>
      </w:r>
      <w:r w:rsidR="00E97FAC" w:rsidRPr="00BC0E76">
        <w:rPr>
          <w:sz w:val="20"/>
          <w:szCs w:val="20"/>
        </w:rPr>
        <w:t xml:space="preserve">. </w:t>
      </w:r>
      <w:r w:rsidR="00802815" w:rsidRPr="00BC0E76">
        <w:rPr>
          <w:sz w:val="20"/>
          <w:szCs w:val="20"/>
        </w:rPr>
        <w:t>Chicago: University of Chicago Press.</w:t>
      </w:r>
    </w:p>
    <w:p w14:paraId="7043CE94" w14:textId="77777777" w:rsidR="00E97FAC" w:rsidRPr="0070711B" w:rsidRDefault="00574A64" w:rsidP="00E97FAC">
      <w:pPr>
        <w:rPr>
          <w:sz w:val="20"/>
          <w:szCs w:val="20"/>
        </w:rPr>
      </w:pPr>
      <w:r>
        <w:rPr>
          <w:sz w:val="20"/>
          <w:szCs w:val="20"/>
        </w:rPr>
        <w:t>—</w:t>
      </w:r>
      <w:r w:rsidR="0070711B">
        <w:rPr>
          <w:sz w:val="20"/>
          <w:szCs w:val="20"/>
        </w:rPr>
        <w:t xml:space="preserve"> (2002</w:t>
      </w:r>
      <w:proofErr w:type="gramStart"/>
      <w:r w:rsidR="0070711B">
        <w:rPr>
          <w:sz w:val="20"/>
          <w:szCs w:val="20"/>
        </w:rPr>
        <w:t>).</w:t>
      </w:r>
      <w:r w:rsidR="00E97FAC" w:rsidRPr="0070711B">
        <w:rPr>
          <w:i/>
          <w:sz w:val="20"/>
          <w:szCs w:val="20"/>
        </w:rPr>
        <w:t>The</w:t>
      </w:r>
      <w:proofErr w:type="gramEnd"/>
      <w:r w:rsidR="00E97FAC" w:rsidRPr="0070711B">
        <w:rPr>
          <w:i/>
          <w:sz w:val="20"/>
          <w:szCs w:val="20"/>
        </w:rPr>
        <w:t xml:space="preserve"> Road Since Structure: Philosophical Essay, 1970-1993, with an Autobiographical Interview</w:t>
      </w:r>
      <w:r w:rsidR="00E97FAC" w:rsidRPr="0070711B">
        <w:rPr>
          <w:sz w:val="20"/>
          <w:szCs w:val="20"/>
        </w:rPr>
        <w:t xml:space="preserve">, ed. J. Conant </w:t>
      </w:r>
    </w:p>
    <w:p w14:paraId="7458F1FB" w14:textId="77777777" w:rsidR="00E97FAC" w:rsidRDefault="00E97FAC" w:rsidP="00E97FAC">
      <w:pPr>
        <w:ind w:firstLine="720"/>
        <w:rPr>
          <w:sz w:val="20"/>
          <w:szCs w:val="20"/>
        </w:rPr>
      </w:pPr>
      <w:r w:rsidRPr="0070711B">
        <w:rPr>
          <w:sz w:val="20"/>
          <w:szCs w:val="20"/>
        </w:rPr>
        <w:t xml:space="preserve">and J. </w:t>
      </w:r>
      <w:proofErr w:type="spellStart"/>
      <w:r w:rsidRPr="0070711B">
        <w:rPr>
          <w:sz w:val="20"/>
          <w:szCs w:val="20"/>
        </w:rPr>
        <w:t>Haugeland</w:t>
      </w:r>
      <w:proofErr w:type="spellEnd"/>
      <w:r w:rsidRPr="0070711B">
        <w:rPr>
          <w:sz w:val="20"/>
          <w:szCs w:val="20"/>
        </w:rPr>
        <w:t>. Chicago: University of Chicago Press.</w:t>
      </w:r>
    </w:p>
    <w:p w14:paraId="134831E2" w14:textId="77777777" w:rsidR="0088066C" w:rsidRDefault="0088066C" w:rsidP="0088066C">
      <w:pPr>
        <w:rPr>
          <w:sz w:val="20"/>
          <w:szCs w:val="20"/>
        </w:rPr>
      </w:pPr>
      <w:proofErr w:type="spellStart"/>
      <w:r>
        <w:rPr>
          <w:sz w:val="20"/>
          <w:szCs w:val="20"/>
        </w:rPr>
        <w:t>Kukla</w:t>
      </w:r>
      <w:proofErr w:type="spellEnd"/>
      <w:r>
        <w:rPr>
          <w:sz w:val="20"/>
          <w:szCs w:val="20"/>
        </w:rPr>
        <w:t xml:space="preserve">, R. (2018). “Embodied Stances: Realism Without Literalism” in </w:t>
      </w:r>
      <w:r>
        <w:rPr>
          <w:i/>
          <w:sz w:val="20"/>
          <w:szCs w:val="20"/>
        </w:rPr>
        <w:t>The Philosophy of Daniel Dennett</w:t>
      </w:r>
      <w:r>
        <w:rPr>
          <w:sz w:val="20"/>
          <w:szCs w:val="20"/>
        </w:rPr>
        <w:t xml:space="preserve">, ed. Bryce Huebner. </w:t>
      </w:r>
    </w:p>
    <w:p w14:paraId="53AE5CC7" w14:textId="77777777" w:rsidR="0088066C" w:rsidRPr="0070711B" w:rsidRDefault="0088066C" w:rsidP="0088066C">
      <w:pPr>
        <w:ind w:firstLine="720"/>
        <w:rPr>
          <w:sz w:val="20"/>
          <w:szCs w:val="20"/>
        </w:rPr>
      </w:pPr>
      <w:r>
        <w:rPr>
          <w:sz w:val="20"/>
          <w:szCs w:val="20"/>
        </w:rPr>
        <w:t>Oxford: Oxford University Press, 4-30.</w:t>
      </w:r>
    </w:p>
    <w:p w14:paraId="632A288A" w14:textId="77777777" w:rsidR="00E97FAC" w:rsidRPr="0070711B" w:rsidRDefault="00E97FAC" w:rsidP="00E97FAC">
      <w:pPr>
        <w:rPr>
          <w:i/>
          <w:sz w:val="20"/>
          <w:szCs w:val="20"/>
        </w:rPr>
      </w:pPr>
      <w:r w:rsidRPr="0070711B">
        <w:rPr>
          <w:sz w:val="20"/>
          <w:szCs w:val="20"/>
        </w:rPr>
        <w:t>McConnell-</w:t>
      </w:r>
      <w:proofErr w:type="spellStart"/>
      <w:r w:rsidRPr="0070711B">
        <w:rPr>
          <w:sz w:val="20"/>
          <w:szCs w:val="20"/>
        </w:rPr>
        <w:t>Ginet</w:t>
      </w:r>
      <w:proofErr w:type="spellEnd"/>
      <w:r w:rsidRPr="0070711B">
        <w:rPr>
          <w:sz w:val="20"/>
          <w:szCs w:val="20"/>
        </w:rPr>
        <w:t xml:space="preserve">, S. (2006). “Why Defining is Seldom ‘Just Semantics’: Marriage and </w:t>
      </w:r>
      <w:r w:rsidRPr="0070711B">
        <w:rPr>
          <w:i/>
          <w:sz w:val="20"/>
          <w:szCs w:val="20"/>
        </w:rPr>
        <w:t>Marriage</w:t>
      </w:r>
      <w:r w:rsidRPr="0070711B">
        <w:rPr>
          <w:sz w:val="20"/>
          <w:szCs w:val="20"/>
        </w:rPr>
        <w:t xml:space="preserve">” in </w:t>
      </w:r>
      <w:r w:rsidRPr="0070711B">
        <w:rPr>
          <w:i/>
          <w:sz w:val="20"/>
          <w:szCs w:val="20"/>
        </w:rPr>
        <w:t xml:space="preserve">Drawing the Boundaries </w:t>
      </w:r>
    </w:p>
    <w:p w14:paraId="636225B3" w14:textId="77777777" w:rsidR="00E97FAC" w:rsidRPr="0070711B" w:rsidRDefault="00E97FAC" w:rsidP="00E97FAC">
      <w:pPr>
        <w:ind w:left="720"/>
        <w:rPr>
          <w:sz w:val="20"/>
          <w:szCs w:val="20"/>
        </w:rPr>
      </w:pPr>
      <w:r w:rsidRPr="0070711B">
        <w:rPr>
          <w:i/>
          <w:sz w:val="20"/>
          <w:szCs w:val="20"/>
        </w:rPr>
        <w:t>of Meaning: Neo-Gricean studies in pragmatics and semantics in honor of Laurence R. Horn</w:t>
      </w:r>
      <w:r w:rsidRPr="0070711B">
        <w:rPr>
          <w:sz w:val="20"/>
          <w:szCs w:val="20"/>
        </w:rPr>
        <w:t xml:space="preserve">, eds. Betty J. </w:t>
      </w:r>
      <w:proofErr w:type="spellStart"/>
      <w:r w:rsidRPr="0070711B">
        <w:rPr>
          <w:sz w:val="20"/>
          <w:szCs w:val="20"/>
        </w:rPr>
        <w:t>Birner</w:t>
      </w:r>
      <w:proofErr w:type="spellEnd"/>
      <w:r w:rsidRPr="0070711B">
        <w:rPr>
          <w:sz w:val="20"/>
          <w:szCs w:val="20"/>
        </w:rPr>
        <w:t xml:space="preserve"> and Gregory Ward. Amsterdam: John Benjamins Publishing Company, 218-240</w:t>
      </w:r>
      <w:r w:rsidR="008E7DC4">
        <w:rPr>
          <w:sz w:val="20"/>
          <w:szCs w:val="20"/>
        </w:rPr>
        <w:t>.</w:t>
      </w:r>
    </w:p>
    <w:p w14:paraId="474D2FA0" w14:textId="77777777" w:rsidR="00E97FAC" w:rsidRPr="0070711B" w:rsidRDefault="00E97FAC" w:rsidP="00E97FAC">
      <w:pPr>
        <w:rPr>
          <w:sz w:val="20"/>
          <w:szCs w:val="20"/>
        </w:rPr>
      </w:pPr>
      <w:r w:rsidRPr="0070711B">
        <w:rPr>
          <w:sz w:val="20"/>
          <w:szCs w:val="20"/>
        </w:rPr>
        <w:t xml:space="preserve">Rouse, J. (2015). </w:t>
      </w:r>
      <w:r w:rsidRPr="0070711B">
        <w:rPr>
          <w:i/>
          <w:sz w:val="20"/>
          <w:szCs w:val="20"/>
        </w:rPr>
        <w:t>Articulating the World: Conceptual Understandings and the Scientific Image</w:t>
      </w:r>
      <w:r w:rsidRPr="0070711B">
        <w:rPr>
          <w:sz w:val="20"/>
          <w:szCs w:val="20"/>
        </w:rPr>
        <w:t xml:space="preserve">. Chicago: University of Chicago </w:t>
      </w:r>
    </w:p>
    <w:p w14:paraId="7728E0AB" w14:textId="77777777" w:rsidR="00E97FAC" w:rsidRDefault="00E97FAC" w:rsidP="00E97FAC">
      <w:pPr>
        <w:ind w:firstLine="720"/>
        <w:rPr>
          <w:sz w:val="20"/>
          <w:szCs w:val="20"/>
        </w:rPr>
      </w:pPr>
      <w:r w:rsidRPr="0070711B">
        <w:rPr>
          <w:sz w:val="20"/>
          <w:szCs w:val="20"/>
        </w:rPr>
        <w:t>Press.</w:t>
      </w:r>
    </w:p>
    <w:p w14:paraId="763FEE43" w14:textId="77777777" w:rsidR="00574A64" w:rsidRPr="009A287F" w:rsidRDefault="00574A64" w:rsidP="00574A64">
      <w:pPr>
        <w:rPr>
          <w:sz w:val="20"/>
          <w:szCs w:val="20"/>
        </w:rPr>
      </w:pPr>
      <w:r w:rsidRPr="0070711B">
        <w:rPr>
          <w:sz w:val="20"/>
          <w:szCs w:val="20"/>
        </w:rPr>
        <w:t xml:space="preserve">— </w:t>
      </w:r>
      <w:r w:rsidRPr="009A287F">
        <w:rPr>
          <w:sz w:val="20"/>
          <w:szCs w:val="20"/>
        </w:rPr>
        <w:t xml:space="preserve">(2003). “Kuhn’s Philosophy of Scientific Practice.” </w:t>
      </w:r>
      <w:r w:rsidRPr="009A287F">
        <w:rPr>
          <w:i/>
          <w:sz w:val="20"/>
          <w:szCs w:val="20"/>
        </w:rPr>
        <w:t>Thomas Kuhn</w:t>
      </w:r>
      <w:r w:rsidRPr="009A287F">
        <w:rPr>
          <w:sz w:val="20"/>
          <w:szCs w:val="20"/>
        </w:rPr>
        <w:t xml:space="preserve">, ed. T. </w:t>
      </w:r>
      <w:proofErr w:type="spellStart"/>
      <w:r w:rsidRPr="009A287F">
        <w:rPr>
          <w:sz w:val="20"/>
          <w:szCs w:val="20"/>
        </w:rPr>
        <w:t>Nickles</w:t>
      </w:r>
      <w:proofErr w:type="spellEnd"/>
      <w:r w:rsidRPr="009A287F">
        <w:rPr>
          <w:sz w:val="20"/>
          <w:szCs w:val="20"/>
        </w:rPr>
        <w:t xml:space="preserve">. Cambridge, UK: Cambridge </w:t>
      </w:r>
    </w:p>
    <w:p w14:paraId="0DA48125" w14:textId="77777777" w:rsidR="00574A64" w:rsidRPr="0070711B" w:rsidRDefault="00574A64" w:rsidP="00FE0FB2">
      <w:pPr>
        <w:ind w:firstLine="720"/>
        <w:rPr>
          <w:sz w:val="20"/>
          <w:szCs w:val="20"/>
        </w:rPr>
      </w:pPr>
      <w:r w:rsidRPr="009A287F">
        <w:rPr>
          <w:sz w:val="20"/>
          <w:szCs w:val="20"/>
        </w:rPr>
        <w:t>University Press, 101-121.</w:t>
      </w:r>
    </w:p>
    <w:p w14:paraId="7AFB2534" w14:textId="77777777" w:rsidR="00E97FAC" w:rsidRPr="0070711B" w:rsidRDefault="00E97FAC" w:rsidP="00E97FAC">
      <w:pPr>
        <w:rPr>
          <w:sz w:val="20"/>
          <w:szCs w:val="20"/>
        </w:rPr>
      </w:pPr>
      <w:r w:rsidRPr="0070711B">
        <w:rPr>
          <w:sz w:val="20"/>
          <w:szCs w:val="20"/>
        </w:rPr>
        <w:t>— (2007).</w:t>
      </w:r>
      <w:r w:rsidR="00FE0FB2">
        <w:rPr>
          <w:sz w:val="20"/>
          <w:szCs w:val="20"/>
        </w:rPr>
        <w:t xml:space="preserve"> </w:t>
      </w:r>
      <w:r w:rsidRPr="0070711B">
        <w:rPr>
          <w:sz w:val="20"/>
          <w:szCs w:val="20"/>
        </w:rPr>
        <w:t xml:space="preserve">“Social Practices and Normativity.” </w:t>
      </w:r>
      <w:r w:rsidRPr="0070711B">
        <w:rPr>
          <w:i/>
          <w:sz w:val="20"/>
          <w:szCs w:val="20"/>
        </w:rPr>
        <w:t>Philosophy of the Social Sciences</w:t>
      </w:r>
      <w:r w:rsidRPr="0070711B">
        <w:rPr>
          <w:sz w:val="20"/>
          <w:szCs w:val="20"/>
        </w:rPr>
        <w:t xml:space="preserve"> 37 (1), 46-56.</w:t>
      </w:r>
    </w:p>
    <w:p w14:paraId="0FCF4803" w14:textId="77777777" w:rsidR="00E97FAC" w:rsidRPr="0070711B" w:rsidRDefault="00E97FAC" w:rsidP="00E97FAC">
      <w:pPr>
        <w:rPr>
          <w:i/>
          <w:sz w:val="20"/>
          <w:szCs w:val="20"/>
        </w:rPr>
      </w:pPr>
      <w:r w:rsidRPr="0070711B">
        <w:rPr>
          <w:sz w:val="20"/>
          <w:szCs w:val="20"/>
        </w:rPr>
        <w:t xml:space="preserve">— (2014). “Temporal Externalism and the Normativity of Linguistic Practice.” </w:t>
      </w:r>
      <w:r w:rsidRPr="0070711B">
        <w:rPr>
          <w:i/>
          <w:sz w:val="20"/>
          <w:szCs w:val="20"/>
        </w:rPr>
        <w:t xml:space="preserve">Journal of the Philosophy </w:t>
      </w:r>
    </w:p>
    <w:p w14:paraId="1E0A41FB" w14:textId="77777777" w:rsidR="00E97FAC" w:rsidRPr="0070711B" w:rsidRDefault="00E97FAC" w:rsidP="00E97FAC">
      <w:pPr>
        <w:ind w:firstLine="720"/>
        <w:rPr>
          <w:sz w:val="20"/>
          <w:szCs w:val="20"/>
        </w:rPr>
      </w:pPr>
      <w:r w:rsidRPr="0070711B">
        <w:rPr>
          <w:i/>
          <w:sz w:val="20"/>
          <w:szCs w:val="20"/>
        </w:rPr>
        <w:t>of History</w:t>
      </w:r>
      <w:r w:rsidRPr="0070711B">
        <w:rPr>
          <w:sz w:val="20"/>
          <w:szCs w:val="20"/>
        </w:rPr>
        <w:t xml:space="preserve"> 8 (1), 20-38.</w:t>
      </w:r>
    </w:p>
    <w:p w14:paraId="0A91F814" w14:textId="77777777" w:rsidR="0070711B" w:rsidRPr="0070711B" w:rsidRDefault="0070711B" w:rsidP="0070711B">
      <w:pPr>
        <w:rPr>
          <w:sz w:val="20"/>
          <w:szCs w:val="20"/>
        </w:rPr>
      </w:pPr>
      <w:r w:rsidRPr="0070711B">
        <w:rPr>
          <w:sz w:val="20"/>
          <w:szCs w:val="20"/>
        </w:rPr>
        <w:t xml:space="preserve">Sawyer, S. (2018). “The Importance of Concepts.” </w:t>
      </w:r>
      <w:r w:rsidRPr="0070711B">
        <w:rPr>
          <w:i/>
          <w:sz w:val="20"/>
          <w:szCs w:val="20"/>
        </w:rPr>
        <w:t>Proceedings of the Aristotelian Society</w:t>
      </w:r>
      <w:r w:rsidRPr="0070711B">
        <w:rPr>
          <w:sz w:val="20"/>
          <w:szCs w:val="20"/>
        </w:rPr>
        <w:t xml:space="preserve"> 118 (2), 127-147.</w:t>
      </w:r>
    </w:p>
    <w:p w14:paraId="1CE6CC18" w14:textId="77777777" w:rsidR="001271E7" w:rsidRPr="001271E7" w:rsidRDefault="001271E7" w:rsidP="00E97FAC">
      <w:pPr>
        <w:rPr>
          <w:sz w:val="20"/>
          <w:szCs w:val="20"/>
        </w:rPr>
      </w:pPr>
      <w:r>
        <w:rPr>
          <w:sz w:val="20"/>
          <w:szCs w:val="20"/>
        </w:rPr>
        <w:t xml:space="preserve">— (forthcoming). “The Role of Concepts in </w:t>
      </w:r>
      <w:r>
        <w:rPr>
          <w:i/>
          <w:iCs/>
          <w:sz w:val="20"/>
          <w:szCs w:val="20"/>
        </w:rPr>
        <w:t>Fixing Language</w:t>
      </w:r>
      <w:r>
        <w:rPr>
          <w:sz w:val="20"/>
          <w:szCs w:val="20"/>
        </w:rPr>
        <w:t xml:space="preserve">: A Critique of </w:t>
      </w:r>
      <w:proofErr w:type="spellStart"/>
      <w:r>
        <w:rPr>
          <w:sz w:val="20"/>
          <w:szCs w:val="20"/>
        </w:rPr>
        <w:t>Cappelen</w:t>
      </w:r>
      <w:proofErr w:type="spellEnd"/>
      <w:r>
        <w:rPr>
          <w:sz w:val="20"/>
          <w:szCs w:val="20"/>
        </w:rPr>
        <w:t xml:space="preserve">.” </w:t>
      </w:r>
      <w:r>
        <w:rPr>
          <w:i/>
          <w:iCs/>
          <w:sz w:val="20"/>
          <w:szCs w:val="20"/>
        </w:rPr>
        <w:t>The Canadian Journal of Philosophy</w:t>
      </w:r>
      <w:r>
        <w:rPr>
          <w:sz w:val="20"/>
          <w:szCs w:val="20"/>
        </w:rPr>
        <w:t>.</w:t>
      </w:r>
    </w:p>
    <w:p w14:paraId="5D306A5E" w14:textId="77777777" w:rsidR="00E97FAC" w:rsidRPr="0070711B" w:rsidRDefault="00E97FAC" w:rsidP="00E97FAC">
      <w:pPr>
        <w:rPr>
          <w:sz w:val="20"/>
          <w:szCs w:val="20"/>
        </w:rPr>
      </w:pPr>
      <w:proofErr w:type="spellStart"/>
      <w:r w:rsidRPr="0070711B">
        <w:rPr>
          <w:sz w:val="20"/>
          <w:szCs w:val="20"/>
        </w:rPr>
        <w:t>Schroeter</w:t>
      </w:r>
      <w:proofErr w:type="spellEnd"/>
      <w:r w:rsidRPr="0070711B">
        <w:rPr>
          <w:sz w:val="20"/>
          <w:szCs w:val="20"/>
        </w:rPr>
        <w:t xml:space="preserve">, L. (2012). “Bootstrapping Our Way to </w:t>
      </w:r>
      <w:proofErr w:type="spellStart"/>
      <w:r w:rsidRPr="0070711B">
        <w:rPr>
          <w:sz w:val="20"/>
          <w:szCs w:val="20"/>
        </w:rPr>
        <w:t>Samesaying</w:t>
      </w:r>
      <w:proofErr w:type="spellEnd"/>
      <w:r w:rsidRPr="0070711B">
        <w:rPr>
          <w:sz w:val="20"/>
          <w:szCs w:val="20"/>
        </w:rPr>
        <w:t xml:space="preserve">.” </w:t>
      </w:r>
      <w:proofErr w:type="spellStart"/>
      <w:r w:rsidRPr="0070711B">
        <w:rPr>
          <w:i/>
          <w:sz w:val="20"/>
          <w:szCs w:val="20"/>
        </w:rPr>
        <w:t>Synthese</w:t>
      </w:r>
      <w:proofErr w:type="spellEnd"/>
      <w:r w:rsidRPr="0070711B">
        <w:rPr>
          <w:sz w:val="20"/>
          <w:szCs w:val="20"/>
        </w:rPr>
        <w:t xml:space="preserve"> 189 (1), 177-197.</w:t>
      </w:r>
    </w:p>
    <w:p w14:paraId="256D7416" w14:textId="77777777" w:rsidR="00E97FAC" w:rsidRPr="0070711B" w:rsidRDefault="00E97FAC" w:rsidP="00E97FAC">
      <w:pPr>
        <w:rPr>
          <w:i/>
          <w:sz w:val="20"/>
          <w:szCs w:val="20"/>
        </w:rPr>
      </w:pPr>
      <w:proofErr w:type="spellStart"/>
      <w:r w:rsidRPr="0070711B">
        <w:rPr>
          <w:sz w:val="20"/>
          <w:szCs w:val="20"/>
        </w:rPr>
        <w:t>Schroeter</w:t>
      </w:r>
      <w:proofErr w:type="spellEnd"/>
      <w:r w:rsidRPr="0070711B">
        <w:rPr>
          <w:sz w:val="20"/>
          <w:szCs w:val="20"/>
        </w:rPr>
        <w:t xml:space="preserve">, L. and Bigelow, J. (2009). “Jackson’s Classical Account of Meaning.” </w:t>
      </w:r>
      <w:r w:rsidRPr="0070711B">
        <w:rPr>
          <w:i/>
          <w:sz w:val="20"/>
          <w:szCs w:val="20"/>
        </w:rPr>
        <w:t xml:space="preserve">Minds, Ethics, </w:t>
      </w:r>
    </w:p>
    <w:p w14:paraId="730B44F5" w14:textId="77777777" w:rsidR="00E97FAC" w:rsidRPr="0070711B" w:rsidRDefault="00E97FAC" w:rsidP="00E97FAC">
      <w:pPr>
        <w:ind w:left="720"/>
        <w:rPr>
          <w:sz w:val="20"/>
          <w:szCs w:val="20"/>
        </w:rPr>
      </w:pPr>
      <w:r w:rsidRPr="0070711B">
        <w:rPr>
          <w:i/>
          <w:sz w:val="20"/>
          <w:szCs w:val="20"/>
        </w:rPr>
        <w:t>and Conditionals: Themes from the Philosophy of Frank Jackson</w:t>
      </w:r>
      <w:r w:rsidRPr="0070711B">
        <w:rPr>
          <w:sz w:val="20"/>
          <w:szCs w:val="20"/>
        </w:rPr>
        <w:t>, ed. Ian Ravenscroft. Oxford: Oxford University Press, 85-109.</w:t>
      </w:r>
    </w:p>
    <w:p w14:paraId="12616A76" w14:textId="77777777" w:rsidR="00E97FAC" w:rsidRPr="0070711B" w:rsidRDefault="00E97FAC" w:rsidP="00E97FAC">
      <w:pPr>
        <w:rPr>
          <w:sz w:val="20"/>
          <w:szCs w:val="20"/>
        </w:rPr>
      </w:pPr>
      <w:proofErr w:type="spellStart"/>
      <w:r w:rsidRPr="0070711B">
        <w:rPr>
          <w:sz w:val="20"/>
          <w:szCs w:val="20"/>
        </w:rPr>
        <w:t>Schroeter</w:t>
      </w:r>
      <w:proofErr w:type="spellEnd"/>
      <w:r w:rsidRPr="0070711B">
        <w:rPr>
          <w:sz w:val="20"/>
          <w:szCs w:val="20"/>
        </w:rPr>
        <w:t xml:space="preserve">, L. and </w:t>
      </w:r>
      <w:proofErr w:type="spellStart"/>
      <w:r w:rsidRPr="0070711B">
        <w:rPr>
          <w:sz w:val="20"/>
          <w:szCs w:val="20"/>
        </w:rPr>
        <w:t>Schroeter</w:t>
      </w:r>
      <w:proofErr w:type="spellEnd"/>
      <w:r w:rsidRPr="0070711B">
        <w:rPr>
          <w:sz w:val="20"/>
          <w:szCs w:val="20"/>
        </w:rPr>
        <w:t xml:space="preserve">, F. (2014). “Normative Concepts: A Connectedness Model.” </w:t>
      </w:r>
      <w:r w:rsidRPr="0070711B">
        <w:rPr>
          <w:i/>
          <w:sz w:val="20"/>
          <w:szCs w:val="20"/>
        </w:rPr>
        <w:t>Philosophers’ Imprint</w:t>
      </w:r>
      <w:r w:rsidRPr="0070711B">
        <w:rPr>
          <w:sz w:val="20"/>
          <w:szCs w:val="20"/>
        </w:rPr>
        <w:t xml:space="preserve"> 14, </w:t>
      </w:r>
    </w:p>
    <w:p w14:paraId="3E3DE34B" w14:textId="77777777" w:rsidR="00E97FAC" w:rsidRPr="0070711B" w:rsidRDefault="00E97FAC" w:rsidP="00E97FAC">
      <w:pPr>
        <w:ind w:firstLine="720"/>
        <w:rPr>
          <w:sz w:val="20"/>
          <w:szCs w:val="20"/>
        </w:rPr>
      </w:pPr>
      <w:r w:rsidRPr="0070711B">
        <w:rPr>
          <w:sz w:val="20"/>
          <w:szCs w:val="20"/>
        </w:rPr>
        <w:t>no. 25, 1-26.</w:t>
      </w:r>
    </w:p>
    <w:p w14:paraId="67459773" w14:textId="77777777" w:rsidR="00E97FAC" w:rsidRPr="0070711B" w:rsidRDefault="00E97FAC" w:rsidP="00E97FAC">
      <w:pPr>
        <w:rPr>
          <w:sz w:val="20"/>
          <w:szCs w:val="20"/>
        </w:rPr>
      </w:pPr>
      <w:r w:rsidRPr="0070711B">
        <w:rPr>
          <w:sz w:val="20"/>
          <w:szCs w:val="20"/>
        </w:rPr>
        <w:t xml:space="preserve">— (2015). “Rationalizing Self-Interpretation.” </w:t>
      </w:r>
      <w:r w:rsidRPr="0070711B">
        <w:rPr>
          <w:i/>
          <w:sz w:val="20"/>
          <w:szCs w:val="20"/>
        </w:rPr>
        <w:t>The Palgrave Handbook of Philosophical Methods</w:t>
      </w:r>
      <w:r w:rsidRPr="0070711B">
        <w:rPr>
          <w:sz w:val="20"/>
          <w:szCs w:val="20"/>
        </w:rPr>
        <w:t xml:space="preserve">, ed. Chris Daly. London: </w:t>
      </w:r>
    </w:p>
    <w:p w14:paraId="73D0037F" w14:textId="77777777" w:rsidR="00E97FAC" w:rsidRPr="0070711B" w:rsidRDefault="00E97FAC" w:rsidP="00E97FAC">
      <w:pPr>
        <w:ind w:firstLine="720"/>
        <w:rPr>
          <w:sz w:val="20"/>
          <w:szCs w:val="20"/>
        </w:rPr>
      </w:pPr>
      <w:r w:rsidRPr="0070711B">
        <w:rPr>
          <w:sz w:val="20"/>
          <w:szCs w:val="20"/>
        </w:rPr>
        <w:t>Palgrave McMillan, 419-447.</w:t>
      </w:r>
    </w:p>
    <w:p w14:paraId="0E230E7C" w14:textId="77777777" w:rsidR="00E97FAC" w:rsidRDefault="00E97FAC">
      <w:pPr>
        <w:rPr>
          <w:sz w:val="20"/>
          <w:szCs w:val="20"/>
        </w:rPr>
      </w:pPr>
      <w:r w:rsidRPr="0070711B">
        <w:rPr>
          <w:sz w:val="20"/>
          <w:szCs w:val="20"/>
        </w:rPr>
        <w:t xml:space="preserve">— (2009). “A Third Way in Metaethics.” </w:t>
      </w:r>
      <w:proofErr w:type="spellStart"/>
      <w:r w:rsidRPr="0070711B">
        <w:rPr>
          <w:i/>
          <w:sz w:val="20"/>
          <w:szCs w:val="20"/>
        </w:rPr>
        <w:t>Noûs</w:t>
      </w:r>
      <w:proofErr w:type="spellEnd"/>
      <w:r w:rsidRPr="0070711B">
        <w:rPr>
          <w:sz w:val="20"/>
          <w:szCs w:val="20"/>
        </w:rPr>
        <w:t xml:space="preserve"> 43 (1), 1-30.</w:t>
      </w:r>
    </w:p>
    <w:p w14:paraId="71EF5B86" w14:textId="77777777" w:rsidR="0088066C" w:rsidRPr="005452E0" w:rsidRDefault="0088066C">
      <w:pPr>
        <w:rPr>
          <w:rFonts w:cs="Times New Roman"/>
          <w:sz w:val="20"/>
          <w:szCs w:val="20"/>
        </w:rPr>
      </w:pPr>
      <w:r w:rsidRPr="002E64FB">
        <w:rPr>
          <w:rFonts w:cs="Times New Roman"/>
          <w:sz w:val="20"/>
          <w:szCs w:val="20"/>
        </w:rPr>
        <w:t xml:space="preserve">Van </w:t>
      </w:r>
      <w:proofErr w:type="spellStart"/>
      <w:r w:rsidRPr="002E64FB">
        <w:rPr>
          <w:rFonts w:cs="Times New Roman"/>
          <w:sz w:val="20"/>
          <w:szCs w:val="20"/>
        </w:rPr>
        <w:t>Fraassen</w:t>
      </w:r>
      <w:proofErr w:type="spellEnd"/>
      <w:r w:rsidRPr="002E64FB">
        <w:rPr>
          <w:rFonts w:cs="Times New Roman"/>
          <w:sz w:val="20"/>
          <w:szCs w:val="20"/>
        </w:rPr>
        <w:t xml:space="preserve">, Bas C. </w:t>
      </w:r>
      <w:r w:rsidRPr="002E64FB">
        <w:rPr>
          <w:rFonts w:cs="Times New Roman"/>
          <w:i/>
          <w:sz w:val="20"/>
          <w:szCs w:val="20"/>
        </w:rPr>
        <w:t>The Empirical Stance</w:t>
      </w:r>
      <w:r w:rsidRPr="002E64FB">
        <w:rPr>
          <w:rFonts w:cs="Times New Roman"/>
          <w:sz w:val="20"/>
          <w:szCs w:val="20"/>
        </w:rPr>
        <w:t>. New Haven: Yale University Press, 2002.</w:t>
      </w:r>
    </w:p>
    <w:sectPr w:rsidR="0088066C" w:rsidRPr="005452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290E1" w14:textId="77777777" w:rsidR="00AC7BE2" w:rsidRDefault="00AC7BE2" w:rsidP="00FA2B37">
      <w:pPr>
        <w:spacing w:line="240" w:lineRule="auto"/>
      </w:pPr>
      <w:r>
        <w:separator/>
      </w:r>
    </w:p>
  </w:endnote>
  <w:endnote w:type="continuationSeparator" w:id="0">
    <w:p w14:paraId="7AF2B84C" w14:textId="77777777" w:rsidR="00AC7BE2" w:rsidRDefault="00AC7BE2" w:rsidP="00FA2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nova">
    <w:altName w:val="Palatino nova"/>
    <w:panose1 w:val="00000000000000000000"/>
    <w:charset w:val="00"/>
    <w:family w:val="roman"/>
    <w:notTrueType/>
    <w:pitch w:val="default"/>
    <w:sig w:usb0="00000003" w:usb1="00000000" w:usb2="00000000" w:usb3="00000000" w:csb0="00000001" w:csb1="00000000"/>
  </w:font>
  <w:font w:name="Times New Roman (Body CS)">
    <w:altName w:val="Times New Roman"/>
    <w:panose1 w:val="020B0604020202020204"/>
    <w:charset w:val="00"/>
    <w:family w:val="roman"/>
    <w:notTrueType/>
    <w:pitch w:val="default"/>
  </w:font>
  <w:font w:name="StoneSerifStd-Medium">
    <w:altName w:val="MS Gothic"/>
    <w:panose1 w:val="020B0604020202020204"/>
    <w:charset w:val="80"/>
    <w:family w:val="auto"/>
    <w:notTrueType/>
    <w:pitch w:val="default"/>
    <w:sig w:usb0="00000000" w:usb1="08070000" w:usb2="00000010" w:usb3="00000000" w:csb0="00020000" w:csb1="00000000"/>
  </w:font>
  <w:font w:name="StoneSerifStd-MediumItalic">
    <w:panose1 w:val="020B0604020202020204"/>
    <w:charset w:val="00"/>
    <w:family w:val="auto"/>
    <w:notTrueType/>
    <w:pitch w:val="default"/>
    <w:sig w:usb0="00000003" w:usb1="00000000" w:usb2="00000000" w:usb3="00000000" w:csb0="00000001" w:csb1="00000000"/>
  </w:font>
  <w:font w:name="ChaparralPro-Regular">
    <w:altName w:val="Times New Roman"/>
    <w:panose1 w:val="020B0604020202020204"/>
    <w:charset w:val="EE"/>
    <w:family w:val="auto"/>
    <w:notTrueType/>
    <w:pitch w:val="default"/>
    <w:sig w:usb0="00000005" w:usb1="00000000" w:usb2="00000000" w:usb3="00000000" w:csb0="00000002" w:csb1="00000000"/>
  </w:font>
  <w:font w:name="StoneSerif">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784995"/>
      <w:docPartObj>
        <w:docPartGallery w:val="Page Numbers (Bottom of Page)"/>
        <w:docPartUnique/>
      </w:docPartObj>
    </w:sdtPr>
    <w:sdtEndPr>
      <w:rPr>
        <w:noProof/>
      </w:rPr>
    </w:sdtEndPr>
    <w:sdtContent>
      <w:p w14:paraId="75E25253" w14:textId="77777777" w:rsidR="00D53A3A" w:rsidRDefault="00D53A3A">
        <w:pPr>
          <w:pStyle w:val="Footer"/>
          <w:jc w:val="center"/>
        </w:pPr>
        <w:r>
          <w:fldChar w:fldCharType="begin"/>
        </w:r>
        <w:r>
          <w:instrText xml:space="preserve"> PAGE   \* MERGEFORMAT </w:instrText>
        </w:r>
        <w:r>
          <w:fldChar w:fldCharType="separate"/>
        </w:r>
        <w:r w:rsidR="00C34466">
          <w:rPr>
            <w:noProof/>
          </w:rPr>
          <w:t>20</w:t>
        </w:r>
        <w:r>
          <w:rPr>
            <w:noProof/>
          </w:rPr>
          <w:fldChar w:fldCharType="end"/>
        </w:r>
      </w:p>
    </w:sdtContent>
  </w:sdt>
  <w:p w14:paraId="067D2647" w14:textId="77777777" w:rsidR="00D53A3A" w:rsidRDefault="00D53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320B7" w14:textId="77777777" w:rsidR="00AC7BE2" w:rsidRDefault="00AC7BE2" w:rsidP="00FA2B37">
      <w:pPr>
        <w:spacing w:line="240" w:lineRule="auto"/>
      </w:pPr>
      <w:r>
        <w:separator/>
      </w:r>
    </w:p>
  </w:footnote>
  <w:footnote w:type="continuationSeparator" w:id="0">
    <w:p w14:paraId="3BF325D7" w14:textId="77777777" w:rsidR="00AC7BE2" w:rsidRDefault="00AC7BE2" w:rsidP="00FA2B37">
      <w:pPr>
        <w:spacing w:line="240" w:lineRule="auto"/>
      </w:pPr>
      <w:r>
        <w:continuationSeparator/>
      </w:r>
    </w:p>
  </w:footnote>
  <w:footnote w:id="1">
    <w:p w14:paraId="2399EAEE" w14:textId="77777777" w:rsidR="00823407" w:rsidRDefault="00823407">
      <w:pPr>
        <w:pStyle w:val="FootnoteText"/>
      </w:pPr>
      <w:r>
        <w:rPr>
          <w:rStyle w:val="FootnoteReference"/>
        </w:rPr>
        <w:footnoteRef/>
      </w:r>
      <w:r>
        <w:t xml:space="preserve"> I use italics for stress, for certain terms-of-art,</w:t>
      </w:r>
      <w:r w:rsidR="00053F37">
        <w:t xml:space="preserve"> and to </w:t>
      </w:r>
      <w:r w:rsidR="007F1DFF">
        <w:t>represent</w:t>
      </w:r>
      <w:r>
        <w:t xml:space="preserve"> the meaning(s) of terms. I use small caps to refer to concepts as well as the language of ‘concept of’ followed by the concept without small caps. I use single quotes to mention terms, and double quotes for quoting other authors and for scare quoting.</w:t>
      </w:r>
    </w:p>
  </w:footnote>
  <w:footnote w:id="2">
    <w:p w14:paraId="62D6694D" w14:textId="77777777" w:rsidR="00861ADA" w:rsidRDefault="00861ADA">
      <w:pPr>
        <w:pStyle w:val="FootnoteText"/>
      </w:pPr>
      <w:r>
        <w:rPr>
          <w:rStyle w:val="FootnoteReference"/>
        </w:rPr>
        <w:footnoteRef/>
      </w:r>
      <w:r>
        <w:t xml:space="preserve"> For Sawyer’s criticisms of </w:t>
      </w:r>
      <w:proofErr w:type="spellStart"/>
      <w:r>
        <w:t>Cappelen’s</w:t>
      </w:r>
      <w:proofErr w:type="spellEnd"/>
      <w:r>
        <w:t xml:space="preserve"> view of topics and </w:t>
      </w:r>
      <w:proofErr w:type="spellStart"/>
      <w:r>
        <w:t>Cappelen’s</w:t>
      </w:r>
      <w:proofErr w:type="spellEnd"/>
      <w:r>
        <w:t xml:space="preserve"> reply</w:t>
      </w:r>
      <w:r w:rsidR="00B77D4E">
        <w:t xml:space="preserve"> to Sawyer</w:t>
      </w:r>
      <w:r>
        <w:t xml:space="preserve">, see </w:t>
      </w:r>
      <w:r w:rsidR="003B0CE0">
        <w:t>(Sawyer, forthcoming</w:t>
      </w:r>
      <w:r>
        <w:t xml:space="preserve">) and </w:t>
      </w:r>
      <w:r w:rsidR="003B0CE0">
        <w:t>(</w:t>
      </w:r>
      <w:proofErr w:type="spellStart"/>
      <w:r w:rsidR="003B0CE0">
        <w:t>Cappelen</w:t>
      </w:r>
      <w:proofErr w:type="spellEnd"/>
      <w:r w:rsidR="003B0CE0">
        <w:t xml:space="preserve">, </w:t>
      </w:r>
      <w:r>
        <w:t xml:space="preserve">forthcoming). Their disagreement, however, reflects that they share the aim of </w:t>
      </w:r>
      <w:r w:rsidR="003B0CE0">
        <w:t>vindicating</w:t>
      </w:r>
      <w:r>
        <w:t xml:space="preserve"> that speakers are indeed </w:t>
      </w:r>
      <w:proofErr w:type="spellStart"/>
      <w:r>
        <w:t>samesaying</w:t>
      </w:r>
      <w:proofErr w:type="spellEnd"/>
      <w:r>
        <w:t xml:space="preserve"> across different understandings of expressions</w:t>
      </w:r>
      <w:r w:rsidR="003B0CE0">
        <w:t xml:space="preserve"> by inflating and re-arranging their </w:t>
      </w:r>
      <w:proofErr w:type="spellStart"/>
      <w:r w:rsidR="003B0CE0">
        <w:t>metasemantic</w:t>
      </w:r>
      <w:proofErr w:type="spellEnd"/>
      <w:r w:rsidR="003B0CE0">
        <w:t xml:space="preserve"> taxonomies</w:t>
      </w:r>
      <w:r>
        <w:t>.</w:t>
      </w:r>
      <w:r w:rsidR="004E2B8C">
        <w:t xml:space="preserve"> My practice and perspective-based approach rejects this aim. </w:t>
      </w:r>
    </w:p>
  </w:footnote>
  <w:footnote w:id="3">
    <w:p w14:paraId="56929BB1" w14:textId="77777777" w:rsidR="008371F2" w:rsidRDefault="008371F2">
      <w:pPr>
        <w:pStyle w:val="FootnoteText"/>
      </w:pPr>
      <w:r>
        <w:rPr>
          <w:rStyle w:val="FootnoteReference"/>
        </w:rPr>
        <w:footnoteRef/>
      </w:r>
      <w:r>
        <w:t xml:space="preserve"> In his (forthcoming), </w:t>
      </w:r>
      <w:proofErr w:type="spellStart"/>
      <w:r>
        <w:t>Cappelen</w:t>
      </w:r>
      <w:proofErr w:type="spellEnd"/>
      <w:r>
        <w:t xml:space="preserve"> makes various observations</w:t>
      </w:r>
      <w:r w:rsidR="005C5962">
        <w:t xml:space="preserve"> that suggest his approach may be more congenial to the one I advocate for in this paper. In particular, his emphasis on topic</w:t>
      </w:r>
      <w:r w:rsidR="00D4480E">
        <w:t>s</w:t>
      </w:r>
      <w:r w:rsidR="005C5962">
        <w:t xml:space="preserve"> not tracking an invariant </w:t>
      </w:r>
      <w:r w:rsidR="00752F87">
        <w:t>property</w:t>
      </w:r>
      <w:r w:rsidR="005C5962">
        <w:t xml:space="preserve"> shared </w:t>
      </w:r>
      <w:r w:rsidR="00752F87">
        <w:t>among</w:t>
      </w:r>
      <w:r w:rsidR="005C5962">
        <w:t xml:space="preserve"> all speakers and</w:t>
      </w:r>
      <w:r w:rsidR="00D4480E">
        <w:t xml:space="preserve"> on how topics may show up differently to different types of interpreters</w:t>
      </w:r>
      <w:r w:rsidR="005928ED">
        <w:t xml:space="preserve"> resemble the view I defend</w:t>
      </w:r>
      <w:r w:rsidR="00195FBB">
        <w:t xml:space="preserve"> here</w:t>
      </w:r>
      <w:r w:rsidR="00D4480E">
        <w:t>. But then</w:t>
      </w:r>
      <w:r w:rsidR="00A703F7">
        <w:t xml:space="preserve">, in my view, </w:t>
      </w:r>
      <w:r w:rsidR="00D4480E">
        <w:t xml:space="preserve">we should simply abandon the category </w:t>
      </w:r>
      <w:r w:rsidR="005928ED">
        <w:t xml:space="preserve">of topics </w:t>
      </w:r>
      <w:r w:rsidR="00D4480E">
        <w:t xml:space="preserve">and opt for </w:t>
      </w:r>
      <w:r w:rsidR="00492233">
        <w:t>a</w:t>
      </w:r>
      <w:r w:rsidR="00D4480E">
        <w:t xml:space="preserve"> fully perspective-based approach. In failing to do so, </w:t>
      </w:r>
      <w:proofErr w:type="spellStart"/>
      <w:r w:rsidR="00D4480E">
        <w:t>Cappelen</w:t>
      </w:r>
      <w:r w:rsidR="00A703F7">
        <w:t>’s</w:t>
      </w:r>
      <w:proofErr w:type="spellEnd"/>
      <w:r w:rsidR="00A703F7">
        <w:t xml:space="preserve"> approach</w:t>
      </w:r>
      <w:r w:rsidR="00D4480E">
        <w:t xml:space="preserve"> inevitably invites questions and criticisms concerning the ontological and </w:t>
      </w:r>
      <w:r w:rsidR="005928ED">
        <w:t>(meta)</w:t>
      </w:r>
      <w:r w:rsidR="00D4480E">
        <w:t>semantic status of topics.</w:t>
      </w:r>
      <w:r w:rsidR="005C5962">
        <w:t xml:space="preserve"> </w:t>
      </w:r>
    </w:p>
  </w:footnote>
  <w:footnote w:id="4">
    <w:p w14:paraId="516BC4A5" w14:textId="77777777" w:rsidR="00BB7907" w:rsidRDefault="00BB7907">
      <w:pPr>
        <w:pStyle w:val="FootnoteText"/>
      </w:pPr>
      <w:r>
        <w:rPr>
          <w:rStyle w:val="FootnoteReference"/>
        </w:rPr>
        <w:footnoteRef/>
      </w:r>
      <w:r>
        <w:t xml:space="preserve"> I shift between the language of </w:t>
      </w:r>
      <w:r w:rsidR="00100469">
        <w:t>‘</w:t>
      </w:r>
      <w:r>
        <w:t>concepts</w:t>
      </w:r>
      <w:r w:rsidR="00100469">
        <w:t>’</w:t>
      </w:r>
      <w:r>
        <w:t xml:space="preserve"> and </w:t>
      </w:r>
      <w:r w:rsidR="00100469">
        <w:t>‘</w:t>
      </w:r>
      <w:r>
        <w:t>topics</w:t>
      </w:r>
      <w:r w:rsidR="00100469">
        <w:t>’</w:t>
      </w:r>
      <w:r>
        <w:t xml:space="preserve"> here intentionally. I explain why I opt for this approach at the end of this section.</w:t>
      </w:r>
    </w:p>
  </w:footnote>
  <w:footnote w:id="5">
    <w:p w14:paraId="2E63C4A3" w14:textId="77777777" w:rsidR="00BB7907" w:rsidRDefault="00BB7907">
      <w:pPr>
        <w:pStyle w:val="FootnoteText"/>
      </w:pPr>
      <w:r>
        <w:rPr>
          <w:rStyle w:val="FootnoteReference"/>
        </w:rPr>
        <w:footnoteRef/>
      </w:r>
      <w:r>
        <w:t xml:space="preserve"> As I explain below, my approach here has a great deal in common with and is in part inspired by the work of Joseph Rouse on what he calls the “normative” view of practices (e.g., his 2007; 2014; 2015).</w:t>
      </w:r>
      <w:r w:rsidR="001A17DF">
        <w:t xml:space="preserve"> Rouse also uses the language of the </w:t>
      </w:r>
      <w:r w:rsidR="00100469">
        <w:t>‘</w:t>
      </w:r>
      <w:r w:rsidR="001A17DF">
        <w:t>prospective</w:t>
      </w:r>
      <w:r w:rsidR="00100469">
        <w:t>’</w:t>
      </w:r>
      <w:r w:rsidR="001A17DF">
        <w:t>.</w:t>
      </w:r>
    </w:p>
  </w:footnote>
  <w:footnote w:id="6">
    <w:p w14:paraId="447B5AC3" w14:textId="77777777" w:rsidR="00BB7907" w:rsidRDefault="00BB7907">
      <w:pPr>
        <w:pStyle w:val="FootnoteText"/>
      </w:pPr>
      <w:r>
        <w:rPr>
          <w:rStyle w:val="FootnoteReference"/>
        </w:rPr>
        <w:footnoteRef/>
      </w:r>
      <w:r>
        <w:t xml:space="preserve"> Thanks to </w:t>
      </w:r>
      <w:r w:rsidR="00435EEB">
        <w:t>Jason Farr</w:t>
      </w:r>
      <w:r>
        <w:t xml:space="preserve"> for discussion of these points.</w:t>
      </w:r>
    </w:p>
  </w:footnote>
  <w:footnote w:id="7">
    <w:p w14:paraId="4B55B17F" w14:textId="77777777" w:rsidR="00A64CF2" w:rsidRDefault="00A64CF2" w:rsidP="00A64CF2">
      <w:pPr>
        <w:pStyle w:val="FootnoteText"/>
      </w:pPr>
      <w:r>
        <w:rPr>
          <w:rStyle w:val="FootnoteReference"/>
        </w:rPr>
        <w:footnoteRef/>
      </w:r>
      <w:r>
        <w:t xml:space="preserve"> See, f</w:t>
      </w:r>
      <w:r w:rsidR="00877A71">
        <w:t>or example, Dennett (1987) and v</w:t>
      </w:r>
      <w:r>
        <w:t xml:space="preserve">an </w:t>
      </w:r>
      <w:proofErr w:type="spellStart"/>
      <w:r>
        <w:t>Fraassen</w:t>
      </w:r>
      <w:proofErr w:type="spellEnd"/>
      <w:r>
        <w:t xml:space="preserve"> (2002). </w:t>
      </w:r>
      <w:proofErr w:type="spellStart"/>
      <w:r>
        <w:t>Kukla’s</w:t>
      </w:r>
      <w:proofErr w:type="spellEnd"/>
      <w:r>
        <w:t xml:space="preserve"> (201</w:t>
      </w:r>
      <w:r w:rsidR="00137ACD">
        <w:t>8</w:t>
      </w:r>
      <w:r>
        <w:t>)</w:t>
      </w:r>
      <w:r w:rsidR="007533AA">
        <w:t xml:space="preserve"> account</w:t>
      </w:r>
      <w:r>
        <w:t xml:space="preserve"> of Dennettian stances is particularly congenial to the sense of </w:t>
      </w:r>
      <w:r w:rsidR="00100469">
        <w:t>‘</w:t>
      </w:r>
      <w:r>
        <w:t>perspective</w:t>
      </w:r>
      <w:r w:rsidR="00100469">
        <w:t>’</w:t>
      </w:r>
      <w:r w:rsidR="007533AA">
        <w:t xml:space="preserve"> I have in mind.</w:t>
      </w:r>
    </w:p>
  </w:footnote>
  <w:footnote w:id="8">
    <w:p w14:paraId="318739FE" w14:textId="77777777" w:rsidR="00504D5F" w:rsidRDefault="00504D5F">
      <w:pPr>
        <w:pStyle w:val="FootnoteText"/>
      </w:pPr>
      <w:r>
        <w:rPr>
          <w:rStyle w:val="FootnoteReference"/>
        </w:rPr>
        <w:footnoteRef/>
      </w:r>
      <w:r>
        <w:t xml:space="preserve"> This kind of example is similar to Putnam and Burge-style expert cases.</w:t>
      </w:r>
    </w:p>
  </w:footnote>
  <w:footnote w:id="9">
    <w:p w14:paraId="2BC88B7C" w14:textId="77777777" w:rsidR="00285918" w:rsidRDefault="00285918">
      <w:pPr>
        <w:pStyle w:val="FootnoteText"/>
      </w:pPr>
      <w:r>
        <w:rPr>
          <w:rStyle w:val="FootnoteReference"/>
        </w:rPr>
        <w:footnoteRef/>
      </w:r>
      <w:r>
        <w:t xml:space="preserve"> If you are inclined to think that a version of this case would play out with Larry and Jeff accepting that they are</w:t>
      </w:r>
      <w:r w:rsidR="004B548B">
        <w:t xml:space="preserve"> in fact</w:t>
      </w:r>
      <w:r>
        <w:t xml:space="preserve"> talking past one another, </w:t>
      </w:r>
      <w:r w:rsidR="00563372">
        <w:t xml:space="preserve">then </w:t>
      </w:r>
      <w:r>
        <w:t>imagine a different version where they are both expert inquirers (art historians or theorists, say). The details of the example would of course be different (</w:t>
      </w:r>
      <w:r w:rsidR="00563372">
        <w:t>and</w:t>
      </w:r>
      <w:r>
        <w:t xml:space="preserve"> more sophisticated), but we can still imagine that they each make explicit their fundamentally diverging understandings of the concept of art and nonetheless continue to argue, not taking this divergence to be a </w:t>
      </w:r>
      <w:proofErr w:type="spellStart"/>
      <w:r>
        <w:t>defaeater</w:t>
      </w:r>
      <w:proofErr w:type="spellEnd"/>
      <w:r>
        <w:t xml:space="preserve"> for </w:t>
      </w:r>
      <w:proofErr w:type="spellStart"/>
      <w:r>
        <w:t>samesaying</w:t>
      </w:r>
      <w:proofErr w:type="spellEnd"/>
      <w:r>
        <w:t>. Vari</w:t>
      </w:r>
      <w:r w:rsidR="00563372">
        <w:t xml:space="preserve">ous further </w:t>
      </w:r>
      <w:r>
        <w:t>examples</w:t>
      </w:r>
      <w:r w:rsidR="00563372">
        <w:t xml:space="preserve"> in this vein</w:t>
      </w:r>
      <w:r>
        <w:t xml:space="preserve"> will be introduced below. Thanks to Herman </w:t>
      </w:r>
      <w:proofErr w:type="spellStart"/>
      <w:r>
        <w:t>Cappelen</w:t>
      </w:r>
      <w:proofErr w:type="spellEnd"/>
      <w:r>
        <w:t xml:space="preserve"> for discussion </w:t>
      </w:r>
      <w:r w:rsidR="004B548B">
        <w:t>of these points</w:t>
      </w:r>
      <w:r>
        <w:t>.</w:t>
      </w:r>
    </w:p>
  </w:footnote>
  <w:footnote w:id="10">
    <w:p w14:paraId="479BCF17" w14:textId="77777777" w:rsidR="00BB7907" w:rsidRPr="009934C5" w:rsidRDefault="00BB7907" w:rsidP="009934C5">
      <w:pPr>
        <w:autoSpaceDE w:val="0"/>
        <w:autoSpaceDN w:val="0"/>
        <w:adjustRightInd w:val="0"/>
        <w:spacing w:line="240" w:lineRule="auto"/>
        <w:rPr>
          <w:rFonts w:eastAsia="StoneSerifStd-Medium" w:cs="StoneSerifStd-Medium"/>
          <w:sz w:val="20"/>
          <w:szCs w:val="20"/>
        </w:rPr>
      </w:pPr>
      <w:r w:rsidRPr="007C1195">
        <w:rPr>
          <w:rStyle w:val="FootnoteReference"/>
          <w:sz w:val="20"/>
          <w:szCs w:val="20"/>
        </w:rPr>
        <w:footnoteRef/>
      </w:r>
      <w:r w:rsidRPr="007C1195">
        <w:rPr>
          <w:sz w:val="20"/>
          <w:szCs w:val="20"/>
        </w:rPr>
        <w:t xml:space="preserve"> </w:t>
      </w:r>
      <w:r w:rsidRPr="007C1195">
        <w:rPr>
          <w:rFonts w:eastAsia="StoneSerifStd-Medium" w:cs="StoneSerifStd-Medium"/>
          <w:sz w:val="20"/>
          <w:szCs w:val="20"/>
        </w:rPr>
        <w:t xml:space="preserve">The </w:t>
      </w:r>
      <w:proofErr w:type="spellStart"/>
      <w:r w:rsidRPr="007C1195">
        <w:rPr>
          <w:rFonts w:eastAsia="StoneSerifStd-Medium" w:cs="StoneSerifStd-Medium"/>
          <w:sz w:val="20"/>
          <w:szCs w:val="20"/>
        </w:rPr>
        <w:t>Schroeters</w:t>
      </w:r>
      <w:proofErr w:type="spellEnd"/>
      <w:r w:rsidRPr="007C1195">
        <w:rPr>
          <w:rFonts w:eastAsia="StoneSerifStd-Medium" w:cs="StoneSerifStd-Medium"/>
          <w:sz w:val="20"/>
          <w:szCs w:val="20"/>
        </w:rPr>
        <w:t xml:space="preserve"> </w:t>
      </w:r>
      <w:r>
        <w:rPr>
          <w:rFonts w:eastAsia="StoneSerifStd-Medium" w:cs="StoneSerifStd-Medium"/>
          <w:sz w:val="20"/>
          <w:szCs w:val="20"/>
        </w:rPr>
        <w:t xml:space="preserve">are also sensitive to this prospective dimension of appearances of </w:t>
      </w:r>
      <w:proofErr w:type="spellStart"/>
      <w:r>
        <w:rPr>
          <w:rFonts w:eastAsia="StoneSerifStd-Medium" w:cs="StoneSerifStd-Medium"/>
          <w:sz w:val="20"/>
          <w:szCs w:val="20"/>
        </w:rPr>
        <w:t>samesaying</w:t>
      </w:r>
      <w:proofErr w:type="spellEnd"/>
      <w:r>
        <w:rPr>
          <w:rFonts w:eastAsia="StoneSerifStd-Medium" w:cs="StoneSerifStd-Medium"/>
          <w:sz w:val="20"/>
          <w:szCs w:val="20"/>
        </w:rPr>
        <w:t>:</w:t>
      </w:r>
      <w:r w:rsidRPr="007C1195">
        <w:rPr>
          <w:rFonts w:eastAsia="StoneSerifStd-Medium" w:cs="StoneSerifStd-Medium"/>
          <w:sz w:val="20"/>
          <w:szCs w:val="20"/>
        </w:rPr>
        <w:t xml:space="preserve"> “When interpreting your representational tradition, you construe it as a practice with a </w:t>
      </w:r>
      <w:r w:rsidRPr="007C1195">
        <w:rPr>
          <w:rFonts w:eastAsia="StoneSerifStd-Medium" w:cs="StoneSerifStd-MediumItalic"/>
          <w:i/>
          <w:iCs/>
          <w:sz w:val="20"/>
          <w:szCs w:val="20"/>
        </w:rPr>
        <w:t xml:space="preserve">point </w:t>
      </w:r>
      <w:r w:rsidRPr="007C1195">
        <w:rPr>
          <w:rFonts w:eastAsia="StoneSerifStd-Medium" w:cs="StoneSerifStd-Medium"/>
          <w:sz w:val="20"/>
          <w:szCs w:val="20"/>
        </w:rPr>
        <w:t xml:space="preserve">or </w:t>
      </w:r>
      <w:r w:rsidRPr="007C1195">
        <w:rPr>
          <w:rFonts w:eastAsia="StoneSerifStd-Medium" w:cs="StoneSerifStd-MediumItalic"/>
          <w:i/>
          <w:iCs/>
          <w:sz w:val="20"/>
          <w:szCs w:val="20"/>
        </w:rPr>
        <w:t>rationale</w:t>
      </w:r>
      <w:r w:rsidRPr="007C1195">
        <w:rPr>
          <w:rFonts w:eastAsia="StoneSerifStd-Medium" w:cs="StoneSerifStd-Medium"/>
          <w:sz w:val="20"/>
          <w:szCs w:val="20"/>
        </w:rPr>
        <w:t>: a set of categorizing and inferential dispositions that allow you and other participants in your linguistic community to keep track of a topic that’s o</w:t>
      </w:r>
      <w:r>
        <w:rPr>
          <w:rFonts w:eastAsia="StoneSerifStd-Medium" w:cs="StoneSerifStd-Medium"/>
          <w:sz w:val="20"/>
          <w:szCs w:val="20"/>
        </w:rPr>
        <w:t>f mutual interest” (2015, 434).</w:t>
      </w:r>
    </w:p>
  </w:footnote>
  <w:footnote w:id="11">
    <w:p w14:paraId="3F64844A" w14:textId="77777777" w:rsidR="00BB7907" w:rsidRDefault="00BB7907">
      <w:pPr>
        <w:pStyle w:val="FootnoteText"/>
      </w:pPr>
      <w:r>
        <w:rPr>
          <w:rStyle w:val="FootnoteReference"/>
        </w:rPr>
        <w:footnoteRef/>
      </w:r>
      <w:r>
        <w:t xml:space="preserve"> I adopt the language of “concepts” in this section for reasons I clarify later on.</w:t>
      </w:r>
    </w:p>
  </w:footnote>
  <w:footnote w:id="12">
    <w:p w14:paraId="0E33EA0C" w14:textId="77777777" w:rsidR="00EE24D0" w:rsidRPr="00EE24D0" w:rsidRDefault="00EE24D0" w:rsidP="00EE24D0">
      <w:pPr>
        <w:rPr>
          <w:sz w:val="20"/>
          <w:szCs w:val="20"/>
        </w:rPr>
      </w:pPr>
      <w:r w:rsidRPr="00EE24D0">
        <w:rPr>
          <w:rStyle w:val="FootnoteReference"/>
          <w:sz w:val="20"/>
          <w:szCs w:val="20"/>
        </w:rPr>
        <w:footnoteRef/>
      </w:r>
      <w:r w:rsidRPr="00EE24D0">
        <w:rPr>
          <w:sz w:val="20"/>
          <w:szCs w:val="20"/>
        </w:rPr>
        <w:t xml:space="preserve"> It is important to note that </w:t>
      </w:r>
      <w:r w:rsidR="00F06CA1">
        <w:rPr>
          <w:sz w:val="20"/>
          <w:szCs w:val="20"/>
        </w:rPr>
        <w:t>beyond</w:t>
      </w:r>
      <w:r w:rsidRPr="00EE24D0">
        <w:rPr>
          <w:sz w:val="20"/>
          <w:szCs w:val="20"/>
        </w:rPr>
        <w:t xml:space="preserve"> </w:t>
      </w:r>
      <w:r w:rsidR="00F06CA1">
        <w:rPr>
          <w:sz w:val="20"/>
          <w:szCs w:val="20"/>
        </w:rPr>
        <w:t>taking</w:t>
      </w:r>
      <w:r w:rsidRPr="00EE24D0">
        <w:rPr>
          <w:sz w:val="20"/>
          <w:szCs w:val="20"/>
        </w:rPr>
        <w:t xml:space="preserve"> up this perspective when encountering “nonsense passages” in out-of-date texts, </w:t>
      </w:r>
      <w:r w:rsidR="00F06CA1">
        <w:rPr>
          <w:sz w:val="20"/>
          <w:szCs w:val="20"/>
        </w:rPr>
        <w:t>there are other contexts</w:t>
      </w:r>
      <w:r w:rsidRPr="00EE24D0">
        <w:rPr>
          <w:sz w:val="20"/>
          <w:szCs w:val="20"/>
        </w:rPr>
        <w:t xml:space="preserve"> in which we take up </w:t>
      </w:r>
      <w:r w:rsidR="00EE0D6F">
        <w:rPr>
          <w:sz w:val="20"/>
          <w:szCs w:val="20"/>
        </w:rPr>
        <w:t>the retrospective internalist</w:t>
      </w:r>
      <w:r w:rsidRPr="00EE24D0">
        <w:rPr>
          <w:sz w:val="20"/>
          <w:szCs w:val="20"/>
        </w:rPr>
        <w:t xml:space="preserve"> perspective. Confounding linguistic behavior that requir</w:t>
      </w:r>
      <w:r w:rsidR="0012122B">
        <w:rPr>
          <w:sz w:val="20"/>
          <w:szCs w:val="20"/>
        </w:rPr>
        <w:t>es concept acquisition and a</w:t>
      </w:r>
      <w:r w:rsidRPr="00EE24D0">
        <w:rPr>
          <w:sz w:val="20"/>
          <w:szCs w:val="20"/>
        </w:rPr>
        <w:t xml:space="preserve"> bilingual </w:t>
      </w:r>
      <w:r w:rsidR="0012122B">
        <w:rPr>
          <w:sz w:val="20"/>
          <w:szCs w:val="20"/>
        </w:rPr>
        <w:t xml:space="preserve">approach </w:t>
      </w:r>
      <w:r w:rsidRPr="00EE24D0">
        <w:rPr>
          <w:sz w:val="20"/>
          <w:szCs w:val="20"/>
        </w:rPr>
        <w:t xml:space="preserve">can also arise in exchanges where speakers are </w:t>
      </w:r>
      <w:r w:rsidR="0044090D">
        <w:rPr>
          <w:sz w:val="20"/>
          <w:szCs w:val="20"/>
        </w:rPr>
        <w:t xml:space="preserve">our </w:t>
      </w:r>
      <w:r w:rsidRPr="00EE24D0">
        <w:rPr>
          <w:sz w:val="20"/>
          <w:szCs w:val="20"/>
        </w:rPr>
        <w:t>contemporaries. When</w:t>
      </w:r>
      <w:r w:rsidR="00B47BB6">
        <w:rPr>
          <w:sz w:val="20"/>
          <w:szCs w:val="20"/>
        </w:rPr>
        <w:t>, for example,</w:t>
      </w:r>
      <w:r w:rsidRPr="00EE24D0">
        <w:rPr>
          <w:sz w:val="20"/>
          <w:szCs w:val="20"/>
        </w:rPr>
        <w:t xml:space="preserve"> a speaker </w:t>
      </w:r>
      <w:r w:rsidR="00F06CA1">
        <w:rPr>
          <w:sz w:val="20"/>
          <w:szCs w:val="20"/>
        </w:rPr>
        <w:t>articulates</w:t>
      </w:r>
      <w:r w:rsidRPr="00EE24D0">
        <w:rPr>
          <w:sz w:val="20"/>
          <w:szCs w:val="20"/>
        </w:rPr>
        <w:t xml:space="preserve"> a radically novel understanding of a seemingly familiar concept, this </w:t>
      </w:r>
      <w:r w:rsidR="00A925DA">
        <w:rPr>
          <w:sz w:val="20"/>
          <w:szCs w:val="20"/>
        </w:rPr>
        <w:t xml:space="preserve">novel view </w:t>
      </w:r>
      <w:r w:rsidRPr="00EE24D0">
        <w:rPr>
          <w:sz w:val="20"/>
          <w:szCs w:val="20"/>
        </w:rPr>
        <w:t>can itself show up to us as similarly “nonsensical” or “absurd”. (Kuhn was particularly interested in such cases in</w:t>
      </w:r>
      <w:r w:rsidR="00B47BB6">
        <w:rPr>
          <w:sz w:val="20"/>
          <w:szCs w:val="20"/>
        </w:rPr>
        <w:t xml:space="preserve"> the context of scientific practice in</w:t>
      </w:r>
      <w:r w:rsidRPr="00EE24D0">
        <w:rPr>
          <w:sz w:val="20"/>
          <w:szCs w:val="20"/>
        </w:rPr>
        <w:t xml:space="preserve"> </w:t>
      </w:r>
      <w:r w:rsidRPr="00EE24D0">
        <w:rPr>
          <w:i/>
          <w:sz w:val="20"/>
          <w:szCs w:val="20"/>
        </w:rPr>
        <w:t>Structure</w:t>
      </w:r>
      <w:r w:rsidRPr="00EE24D0">
        <w:rPr>
          <w:sz w:val="20"/>
          <w:szCs w:val="20"/>
        </w:rPr>
        <w:t xml:space="preserve">.) In </w:t>
      </w:r>
      <w:r w:rsidR="0044090D">
        <w:rPr>
          <w:sz w:val="20"/>
          <w:szCs w:val="20"/>
        </w:rPr>
        <w:t>these</w:t>
      </w:r>
      <w:r w:rsidRPr="00EE24D0">
        <w:rPr>
          <w:sz w:val="20"/>
          <w:szCs w:val="20"/>
        </w:rPr>
        <w:t xml:space="preserve"> cases, if we do not reject the </w:t>
      </w:r>
      <w:r w:rsidR="00F06CA1">
        <w:rPr>
          <w:sz w:val="20"/>
          <w:szCs w:val="20"/>
        </w:rPr>
        <w:t xml:space="preserve">view </w:t>
      </w:r>
      <w:r w:rsidRPr="00EE24D0">
        <w:rPr>
          <w:sz w:val="20"/>
          <w:szCs w:val="20"/>
        </w:rPr>
        <w:t xml:space="preserve">outright, we </w:t>
      </w:r>
      <w:r w:rsidR="00B47BB6">
        <w:rPr>
          <w:sz w:val="20"/>
          <w:szCs w:val="20"/>
        </w:rPr>
        <w:t>will similarly work</w:t>
      </w:r>
      <w:r w:rsidRPr="00EE24D0">
        <w:rPr>
          <w:sz w:val="20"/>
          <w:szCs w:val="20"/>
        </w:rPr>
        <w:t xml:space="preserve"> to try and acquire the novel understanding or concept this innovative speaker is </w:t>
      </w:r>
      <w:r w:rsidR="00A925DA">
        <w:rPr>
          <w:sz w:val="20"/>
          <w:szCs w:val="20"/>
        </w:rPr>
        <w:t>articulating</w:t>
      </w:r>
      <w:r w:rsidRPr="00EE24D0">
        <w:rPr>
          <w:sz w:val="20"/>
          <w:szCs w:val="20"/>
        </w:rPr>
        <w:t xml:space="preserve">. I nonetheless call the perspective we adopt in both of these cases </w:t>
      </w:r>
      <w:r w:rsidR="00F06CA1">
        <w:rPr>
          <w:sz w:val="20"/>
          <w:szCs w:val="20"/>
        </w:rPr>
        <w:t>‘</w:t>
      </w:r>
      <w:r w:rsidRPr="00EE24D0">
        <w:rPr>
          <w:sz w:val="20"/>
          <w:szCs w:val="20"/>
        </w:rPr>
        <w:t>retrospective</w:t>
      </w:r>
      <w:r w:rsidR="00F06CA1">
        <w:rPr>
          <w:sz w:val="20"/>
          <w:szCs w:val="20"/>
        </w:rPr>
        <w:t>’</w:t>
      </w:r>
      <w:r w:rsidRPr="00EE24D0">
        <w:rPr>
          <w:sz w:val="20"/>
          <w:szCs w:val="20"/>
        </w:rPr>
        <w:t xml:space="preserve"> to distinguish it from the forward-looking, prospective project of getting a particular </w:t>
      </w:r>
      <w:r w:rsidR="00B47BB6">
        <w:rPr>
          <w:sz w:val="20"/>
          <w:szCs w:val="20"/>
        </w:rPr>
        <w:t>concept/topic right, as opposed to trying to get</w:t>
      </w:r>
      <w:r w:rsidRPr="00EE24D0">
        <w:rPr>
          <w:sz w:val="20"/>
          <w:szCs w:val="20"/>
        </w:rPr>
        <w:t xml:space="preserve"> any particular speaker’s understanding right. </w:t>
      </w:r>
      <w:r w:rsidR="00F06CA1">
        <w:rPr>
          <w:sz w:val="20"/>
          <w:szCs w:val="20"/>
        </w:rPr>
        <w:t>‘Pros</w:t>
      </w:r>
      <w:r w:rsidR="0044090D">
        <w:rPr>
          <w:sz w:val="20"/>
          <w:szCs w:val="20"/>
        </w:rPr>
        <w:t>pective</w:t>
      </w:r>
      <w:r w:rsidR="00F06CA1">
        <w:rPr>
          <w:sz w:val="20"/>
          <w:szCs w:val="20"/>
        </w:rPr>
        <w:t>’</w:t>
      </w:r>
      <w:r w:rsidR="0044090D">
        <w:rPr>
          <w:sz w:val="20"/>
          <w:szCs w:val="20"/>
        </w:rPr>
        <w:t xml:space="preserve"> and </w:t>
      </w:r>
      <w:r w:rsidR="00F06CA1">
        <w:rPr>
          <w:sz w:val="20"/>
          <w:szCs w:val="20"/>
        </w:rPr>
        <w:t>‘</w:t>
      </w:r>
      <w:r w:rsidR="0044090D">
        <w:rPr>
          <w:sz w:val="20"/>
          <w:szCs w:val="20"/>
        </w:rPr>
        <w:t>retrospective</w:t>
      </w:r>
      <w:r w:rsidR="00F06CA1">
        <w:rPr>
          <w:sz w:val="20"/>
          <w:szCs w:val="20"/>
        </w:rPr>
        <w:t>’</w:t>
      </w:r>
      <w:r w:rsidR="0044090D">
        <w:rPr>
          <w:sz w:val="20"/>
          <w:szCs w:val="20"/>
        </w:rPr>
        <w:t>, as I use these terms,</w:t>
      </w:r>
      <w:r w:rsidR="00B47BB6">
        <w:rPr>
          <w:sz w:val="20"/>
          <w:szCs w:val="20"/>
        </w:rPr>
        <w:t xml:space="preserve"> therefore</w:t>
      </w:r>
      <w:r w:rsidR="0044090D">
        <w:rPr>
          <w:sz w:val="20"/>
          <w:szCs w:val="20"/>
        </w:rPr>
        <w:t xml:space="preserve"> cannot be mapped neatly onto determinate temporal trajectories: I might argue from a prospective externalist perspective with the author of a distant text (as, for example, we often do in philosophy), and I might adopt a retrospective internalist perspective with a contemporary speaker whose linguistic behavior I cannot yet make sense of, but </w:t>
      </w:r>
      <w:r w:rsidR="00B47BB6">
        <w:rPr>
          <w:sz w:val="20"/>
          <w:szCs w:val="20"/>
        </w:rPr>
        <w:t xml:space="preserve">believe </w:t>
      </w:r>
      <w:r w:rsidR="0044090D">
        <w:rPr>
          <w:sz w:val="20"/>
          <w:szCs w:val="20"/>
        </w:rPr>
        <w:t>might have an exciting, novel way of thinking about the world</w:t>
      </w:r>
      <w:r w:rsidR="00B47BB6">
        <w:rPr>
          <w:sz w:val="20"/>
          <w:szCs w:val="20"/>
        </w:rPr>
        <w:t xml:space="preserve"> that I want to acquire (and then may prospectively go on to endorse)</w:t>
      </w:r>
      <w:r w:rsidR="0044090D">
        <w:rPr>
          <w:sz w:val="20"/>
          <w:szCs w:val="20"/>
        </w:rPr>
        <w:t>.</w:t>
      </w:r>
    </w:p>
  </w:footnote>
  <w:footnote w:id="13">
    <w:p w14:paraId="78A675B2" w14:textId="77777777" w:rsidR="00875DB9" w:rsidRPr="00DC2496" w:rsidRDefault="00875DB9">
      <w:pPr>
        <w:pStyle w:val="FootnoteText"/>
        <w:rPr>
          <w:rFonts w:cs="StoneSerif"/>
        </w:rPr>
      </w:pPr>
      <w:r>
        <w:rPr>
          <w:rStyle w:val="FootnoteReference"/>
        </w:rPr>
        <w:footnoteRef/>
      </w:r>
      <w:r>
        <w:t xml:space="preserve"> I</w:t>
      </w:r>
      <w:r w:rsidRPr="00F265FA">
        <w:t xml:space="preserve">n </w:t>
      </w:r>
      <w:r w:rsidRPr="00F265FA">
        <w:rPr>
          <w:i/>
        </w:rPr>
        <w:t>Articulating the World</w:t>
      </w:r>
      <w:r>
        <w:t>, Rouse cites</w:t>
      </w:r>
      <w:r w:rsidRPr="00F265FA">
        <w:t xml:space="preserve"> a deficient but dominant “retrospective” </w:t>
      </w:r>
      <w:r>
        <w:t>view that is implicit in much contemporary</w:t>
      </w:r>
      <w:r w:rsidRPr="00F265FA">
        <w:t xml:space="preserve"> philosophy of science: “</w:t>
      </w:r>
      <w:r w:rsidRPr="00F265FA">
        <w:rPr>
          <w:rFonts w:cs="StoneSerif"/>
        </w:rPr>
        <w:t xml:space="preserve">The predominant philosophical accounts </w:t>
      </w:r>
      <w:r w:rsidR="00127722">
        <w:rPr>
          <w:rFonts w:cs="StoneSerif"/>
        </w:rPr>
        <w:t xml:space="preserve">of scientific understanding are </w:t>
      </w:r>
      <w:r w:rsidRPr="00F265FA">
        <w:rPr>
          <w:rFonts w:cs="StoneSerif"/>
        </w:rPr>
        <w:t>retrospective, looking back at the structure and content of what has already been understood and codified as scientific knowledge[…]This retrospective philosophical orientation sharply contrasts to the understanding driving the practice of scientific research. Research workers take a more prospective view of their field as oriented toward outstanding problems and opportunities…</w:t>
      </w:r>
      <w:r>
        <w:rPr>
          <w:rFonts w:cs="StoneSerif"/>
        </w:rPr>
        <w:t xml:space="preserve">The concepts employed </w:t>
      </w:r>
      <w:r w:rsidRPr="00F265FA">
        <w:rPr>
          <w:rFonts w:cs="StoneSerif"/>
        </w:rPr>
        <w:t>are understood as open textured in ways that both permit and encourage further articulation or correction of previous patterns of use. What scientific claims say about the world is thereby always open to further transforma</w:t>
      </w:r>
      <w:r w:rsidR="00A96BC9">
        <w:rPr>
          <w:rFonts w:cs="StoneSerif"/>
        </w:rPr>
        <w:t>tion</w:t>
      </w:r>
      <w:r w:rsidRPr="00F265FA">
        <w:rPr>
          <w:rFonts w:cs="StoneSerif"/>
        </w:rPr>
        <w:t xml:space="preserve">” (2015, 212). This is not the sense of </w:t>
      </w:r>
      <w:r w:rsidR="009055E0">
        <w:rPr>
          <w:rFonts w:cs="StoneSerif"/>
        </w:rPr>
        <w:t>‘</w:t>
      </w:r>
      <w:r w:rsidRPr="00F265FA">
        <w:rPr>
          <w:rFonts w:cs="StoneSerif"/>
        </w:rPr>
        <w:t>retrospective</w:t>
      </w:r>
      <w:r w:rsidR="009055E0">
        <w:rPr>
          <w:rFonts w:cs="StoneSerif"/>
        </w:rPr>
        <w:t>’</w:t>
      </w:r>
      <w:r w:rsidRPr="00F265FA">
        <w:rPr>
          <w:rFonts w:cs="StoneSerif"/>
        </w:rPr>
        <w:t xml:space="preserve"> I have in mind in this paper. The Kuhnian retrospective approach </w:t>
      </w:r>
      <w:r>
        <w:rPr>
          <w:rFonts w:cs="StoneSerif"/>
        </w:rPr>
        <w:t>generally rejects the simplistic “compilation” model Rouse refers to here because it is sensitive to the difficulty of narrating a seamless, progressive history of a research field; the Kuhnian historian knows they will likely encounter repeated failures of translation that make compiling such a seamless, progr</w:t>
      </w:r>
      <w:r w:rsidR="00127722">
        <w:rPr>
          <w:rFonts w:cs="StoneSerif"/>
        </w:rPr>
        <w:t>essive history impossible</w:t>
      </w:r>
      <w:r>
        <w:rPr>
          <w:rFonts w:cs="StoneSerif"/>
        </w:rPr>
        <w:t xml:space="preserve">. Interestingly, Rouse elsewhere attempts to recover Kuhn’s insights in </w:t>
      </w:r>
      <w:r>
        <w:rPr>
          <w:rFonts w:cs="StoneSerif"/>
          <w:i/>
        </w:rPr>
        <w:t xml:space="preserve">Structure </w:t>
      </w:r>
      <w:r>
        <w:rPr>
          <w:rFonts w:cs="StoneSerif"/>
        </w:rPr>
        <w:t xml:space="preserve">and adapt them for his more prospective view of scientific practice (Rouse 2003). While Rouse’s reading here represents an important corrective to </w:t>
      </w:r>
      <w:r w:rsidR="00B47BB6">
        <w:rPr>
          <w:rFonts w:cs="StoneSerif"/>
        </w:rPr>
        <w:t>influential</w:t>
      </w:r>
      <w:r>
        <w:rPr>
          <w:rFonts w:cs="StoneSerif"/>
        </w:rPr>
        <w:t xml:space="preserve"> but misleading readings of </w:t>
      </w:r>
      <w:r>
        <w:rPr>
          <w:rFonts w:cs="StoneSerif"/>
          <w:i/>
        </w:rPr>
        <w:t>Structure</w:t>
      </w:r>
      <w:r>
        <w:rPr>
          <w:rFonts w:cs="StoneSerif"/>
        </w:rPr>
        <w:t>, he also overlooks the viability of the later Kuhn’s retrospective view of incommensurability</w:t>
      </w:r>
      <w:r w:rsidR="00DC2496">
        <w:rPr>
          <w:rFonts w:cs="StoneSerif"/>
        </w:rPr>
        <w:t xml:space="preserve"> that I am arguing in this paper should not be subsumed into – should in fact be carefully distinguished from – the prospective view Rouse emphasizes</w:t>
      </w:r>
      <w:r>
        <w:rPr>
          <w:rFonts w:cs="StoneSerif"/>
        </w:rPr>
        <w:t>.</w:t>
      </w:r>
    </w:p>
  </w:footnote>
  <w:footnote w:id="14">
    <w:p w14:paraId="24FE155E" w14:textId="77777777" w:rsidR="00BB7907" w:rsidRDefault="00BB7907">
      <w:pPr>
        <w:pStyle w:val="FootnoteText"/>
      </w:pPr>
      <w:r>
        <w:rPr>
          <w:rStyle w:val="FootnoteReference"/>
        </w:rPr>
        <w:footnoteRef/>
      </w:r>
      <w:r>
        <w:t xml:space="preserve"> A real-world version of this project would be </w:t>
      </w:r>
      <w:r>
        <w:rPr>
          <w:i/>
        </w:rPr>
        <w:t>far</w:t>
      </w:r>
      <w:r>
        <w:t xml:space="preserve"> more complex than this toy case implies. For a sense of the range of data this project would have to account for, see Sall</w:t>
      </w:r>
      <w:r w:rsidR="00A90BE2">
        <w:t>y McConnell-</w:t>
      </w:r>
      <w:proofErr w:type="spellStart"/>
      <w:r w:rsidR="00A90BE2">
        <w:t>Ginet</w:t>
      </w:r>
      <w:proofErr w:type="spellEnd"/>
      <w:r>
        <w:t xml:space="preserve"> (2006).</w:t>
      </w:r>
    </w:p>
  </w:footnote>
  <w:footnote w:id="15">
    <w:p w14:paraId="4286799C" w14:textId="77777777" w:rsidR="00196E49" w:rsidRDefault="00196E49">
      <w:pPr>
        <w:pStyle w:val="FootnoteText"/>
      </w:pPr>
      <w:r>
        <w:rPr>
          <w:rStyle w:val="FootnoteReference"/>
        </w:rPr>
        <w:footnoteRef/>
      </w:r>
      <w:r>
        <w:t xml:space="preserve"> Again, such speakers need not be temporally distant from us</w:t>
      </w:r>
      <w:r w:rsidR="004B433D">
        <w:t xml:space="preserve"> (even though these are the most likely cases). Someone who articulate</w:t>
      </w:r>
      <w:r w:rsidR="005014B1">
        <w:t>s</w:t>
      </w:r>
      <w:r>
        <w:t xml:space="preserve"> a dissenting or novel understanding of a concept may similar</w:t>
      </w:r>
      <w:r w:rsidR="004B433D">
        <w:t>ly</w:t>
      </w:r>
      <w:r>
        <w:t xml:space="preserve"> show up to us as engaging in bizarre or confusing linguistic behavior, where we then shift to a retrospective internalist perspective in analyzing th</w:t>
      </w:r>
      <w:r w:rsidR="005014B1">
        <w:t>is speaker</w:t>
      </w:r>
      <w:r>
        <w:t xml:space="preserve"> </w:t>
      </w:r>
      <w:r w:rsidR="005014B1">
        <w:t>in order to render their linguistic behavior</w:t>
      </w:r>
      <w:r>
        <w:t xml:space="preserve"> intelligible.</w:t>
      </w:r>
    </w:p>
  </w:footnote>
  <w:footnote w:id="16">
    <w:p w14:paraId="3BF433EF" w14:textId="77777777" w:rsidR="00AD4CC1" w:rsidRDefault="00AD4CC1">
      <w:pPr>
        <w:pStyle w:val="FootnoteText"/>
      </w:pPr>
      <w:r>
        <w:rPr>
          <w:rStyle w:val="FootnoteReference"/>
        </w:rPr>
        <w:footnoteRef/>
      </w:r>
      <w:r>
        <w:t xml:space="preserve"> Thanks to Bryce Huebner, </w:t>
      </w:r>
      <w:r w:rsidR="007707A6">
        <w:t xml:space="preserve">James Mattingly, Kate Withy, Trip Glazer, and Francisco Gallegos for comments on an early draft of this paper. Many thanks to Henry Jackman for his helpful feedback. Thank you as well to an (online) audience facilitated by the </w:t>
      </w:r>
      <w:proofErr w:type="spellStart"/>
      <w:r w:rsidR="007707A6">
        <w:t>ConceptLab</w:t>
      </w:r>
      <w:proofErr w:type="spellEnd"/>
      <w:r w:rsidR="007707A6">
        <w:t xml:space="preserve"> at the University of Oslo from whom I received </w:t>
      </w:r>
      <w:r w:rsidR="001A188B">
        <w:t>valuable comments</w:t>
      </w:r>
      <w:r w:rsidR="007707A6">
        <w:t xml:space="preserve">. Special thanks to Hailey </w:t>
      </w:r>
      <w:proofErr w:type="spellStart"/>
      <w:r w:rsidR="007707A6">
        <w:t>Huget</w:t>
      </w:r>
      <w:proofErr w:type="spellEnd"/>
      <w:r w:rsidR="007707A6">
        <w:t xml:space="preserve"> for discussing these ideas with me at length and for her insightful comments on various drafts.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CF6"/>
    <w:multiLevelType w:val="hybridMultilevel"/>
    <w:tmpl w:val="A85C6754"/>
    <w:lvl w:ilvl="0" w:tplc="0EF05C70">
      <w:start w:val="2"/>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A226BD"/>
    <w:multiLevelType w:val="hybridMultilevel"/>
    <w:tmpl w:val="19FAD848"/>
    <w:lvl w:ilvl="0" w:tplc="74185408">
      <w:start w:val="1"/>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FD408CE"/>
    <w:multiLevelType w:val="hybridMultilevel"/>
    <w:tmpl w:val="233C3AC2"/>
    <w:lvl w:ilvl="0" w:tplc="D67A8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61BDB"/>
    <w:multiLevelType w:val="multilevel"/>
    <w:tmpl w:val="9816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06BFA"/>
    <w:multiLevelType w:val="hybridMultilevel"/>
    <w:tmpl w:val="233C3AC2"/>
    <w:lvl w:ilvl="0" w:tplc="D67A8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83FA0"/>
    <w:multiLevelType w:val="hybridMultilevel"/>
    <w:tmpl w:val="188024E0"/>
    <w:lvl w:ilvl="0" w:tplc="9A6EE81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9E"/>
    <w:rsid w:val="000002C9"/>
    <w:rsid w:val="00000405"/>
    <w:rsid w:val="000010B7"/>
    <w:rsid w:val="00001AB5"/>
    <w:rsid w:val="00004789"/>
    <w:rsid w:val="000063AE"/>
    <w:rsid w:val="00010A4C"/>
    <w:rsid w:val="00014A41"/>
    <w:rsid w:val="00017456"/>
    <w:rsid w:val="00020098"/>
    <w:rsid w:val="000209D3"/>
    <w:rsid w:val="00021F58"/>
    <w:rsid w:val="0002321B"/>
    <w:rsid w:val="000322A5"/>
    <w:rsid w:val="00035B90"/>
    <w:rsid w:val="00047A09"/>
    <w:rsid w:val="00053F37"/>
    <w:rsid w:val="000647AB"/>
    <w:rsid w:val="000708DF"/>
    <w:rsid w:val="000776F3"/>
    <w:rsid w:val="0008028D"/>
    <w:rsid w:val="00082303"/>
    <w:rsid w:val="0008561C"/>
    <w:rsid w:val="00092334"/>
    <w:rsid w:val="0009293E"/>
    <w:rsid w:val="00092BB1"/>
    <w:rsid w:val="0009480D"/>
    <w:rsid w:val="00097F55"/>
    <w:rsid w:val="000A042D"/>
    <w:rsid w:val="000A0C68"/>
    <w:rsid w:val="000A2519"/>
    <w:rsid w:val="000A3485"/>
    <w:rsid w:val="000A38A4"/>
    <w:rsid w:val="000A5578"/>
    <w:rsid w:val="000A73B7"/>
    <w:rsid w:val="000C1C68"/>
    <w:rsid w:val="000C2F20"/>
    <w:rsid w:val="000C3901"/>
    <w:rsid w:val="000C41A0"/>
    <w:rsid w:val="000D4165"/>
    <w:rsid w:val="000E3B16"/>
    <w:rsid w:val="000E4A6E"/>
    <w:rsid w:val="000F10B9"/>
    <w:rsid w:val="000F45B2"/>
    <w:rsid w:val="000F725B"/>
    <w:rsid w:val="00100469"/>
    <w:rsid w:val="00100AD3"/>
    <w:rsid w:val="00102F11"/>
    <w:rsid w:val="00105CA0"/>
    <w:rsid w:val="001064C7"/>
    <w:rsid w:val="00106744"/>
    <w:rsid w:val="0010763B"/>
    <w:rsid w:val="001079DF"/>
    <w:rsid w:val="0011081B"/>
    <w:rsid w:val="001127C7"/>
    <w:rsid w:val="001135A7"/>
    <w:rsid w:val="001147B3"/>
    <w:rsid w:val="001156C0"/>
    <w:rsid w:val="00115C8C"/>
    <w:rsid w:val="001207EB"/>
    <w:rsid w:val="0012122B"/>
    <w:rsid w:val="00121722"/>
    <w:rsid w:val="001219AC"/>
    <w:rsid w:val="00122240"/>
    <w:rsid w:val="00123877"/>
    <w:rsid w:val="001271E7"/>
    <w:rsid w:val="00127722"/>
    <w:rsid w:val="00127904"/>
    <w:rsid w:val="00132531"/>
    <w:rsid w:val="00132EB2"/>
    <w:rsid w:val="00135ACC"/>
    <w:rsid w:val="00137ACD"/>
    <w:rsid w:val="00137BEE"/>
    <w:rsid w:val="00140F79"/>
    <w:rsid w:val="0014347E"/>
    <w:rsid w:val="00145897"/>
    <w:rsid w:val="00152B42"/>
    <w:rsid w:val="001561ED"/>
    <w:rsid w:val="00160924"/>
    <w:rsid w:val="00161504"/>
    <w:rsid w:val="001642C1"/>
    <w:rsid w:val="001647B1"/>
    <w:rsid w:val="0016548C"/>
    <w:rsid w:val="001659A8"/>
    <w:rsid w:val="0016627D"/>
    <w:rsid w:val="00167851"/>
    <w:rsid w:val="00175AD6"/>
    <w:rsid w:val="00181CEB"/>
    <w:rsid w:val="001835B4"/>
    <w:rsid w:val="00184012"/>
    <w:rsid w:val="00184184"/>
    <w:rsid w:val="00185186"/>
    <w:rsid w:val="00185827"/>
    <w:rsid w:val="00185D85"/>
    <w:rsid w:val="00186418"/>
    <w:rsid w:val="001877CF"/>
    <w:rsid w:val="00187D08"/>
    <w:rsid w:val="00190AA6"/>
    <w:rsid w:val="001923F0"/>
    <w:rsid w:val="00195576"/>
    <w:rsid w:val="00195FBB"/>
    <w:rsid w:val="00196E49"/>
    <w:rsid w:val="001A17DF"/>
    <w:rsid w:val="001A188B"/>
    <w:rsid w:val="001A1E3A"/>
    <w:rsid w:val="001A356F"/>
    <w:rsid w:val="001A3BB4"/>
    <w:rsid w:val="001A6A05"/>
    <w:rsid w:val="001B44B1"/>
    <w:rsid w:val="001B5BE0"/>
    <w:rsid w:val="001C369E"/>
    <w:rsid w:val="001C51DB"/>
    <w:rsid w:val="001C6D90"/>
    <w:rsid w:val="001D01A9"/>
    <w:rsid w:val="001D085A"/>
    <w:rsid w:val="001D08E8"/>
    <w:rsid w:val="001D0A75"/>
    <w:rsid w:val="001D40F3"/>
    <w:rsid w:val="001D43F4"/>
    <w:rsid w:val="001E0A55"/>
    <w:rsid w:val="001E1499"/>
    <w:rsid w:val="001E2D7C"/>
    <w:rsid w:val="001E34EB"/>
    <w:rsid w:val="001E5C1B"/>
    <w:rsid w:val="001F2B9C"/>
    <w:rsid w:val="001F3BE1"/>
    <w:rsid w:val="001F6703"/>
    <w:rsid w:val="002014E1"/>
    <w:rsid w:val="002015F6"/>
    <w:rsid w:val="00202881"/>
    <w:rsid w:val="00202B0D"/>
    <w:rsid w:val="00202BFD"/>
    <w:rsid w:val="00205B25"/>
    <w:rsid w:val="00206183"/>
    <w:rsid w:val="00210CF3"/>
    <w:rsid w:val="0021149F"/>
    <w:rsid w:val="00220B28"/>
    <w:rsid w:val="0022164E"/>
    <w:rsid w:val="00222F45"/>
    <w:rsid w:val="00223641"/>
    <w:rsid w:val="00223D2B"/>
    <w:rsid w:val="00230B55"/>
    <w:rsid w:val="00234E3B"/>
    <w:rsid w:val="002357B1"/>
    <w:rsid w:val="00235946"/>
    <w:rsid w:val="002404A9"/>
    <w:rsid w:val="0024250A"/>
    <w:rsid w:val="0024298C"/>
    <w:rsid w:val="00243EE3"/>
    <w:rsid w:val="0024553C"/>
    <w:rsid w:val="002464BB"/>
    <w:rsid w:val="002518C3"/>
    <w:rsid w:val="00251E1C"/>
    <w:rsid w:val="00252D95"/>
    <w:rsid w:val="002642C6"/>
    <w:rsid w:val="0026596C"/>
    <w:rsid w:val="00266143"/>
    <w:rsid w:val="00275513"/>
    <w:rsid w:val="00277E46"/>
    <w:rsid w:val="00281C72"/>
    <w:rsid w:val="002831FB"/>
    <w:rsid w:val="00283489"/>
    <w:rsid w:val="00283D3A"/>
    <w:rsid w:val="00285918"/>
    <w:rsid w:val="00285F49"/>
    <w:rsid w:val="00292985"/>
    <w:rsid w:val="00293677"/>
    <w:rsid w:val="002A2E47"/>
    <w:rsid w:val="002A4E22"/>
    <w:rsid w:val="002A6A09"/>
    <w:rsid w:val="002B151D"/>
    <w:rsid w:val="002B3B99"/>
    <w:rsid w:val="002C074D"/>
    <w:rsid w:val="002C09EA"/>
    <w:rsid w:val="002C12F3"/>
    <w:rsid w:val="002C7835"/>
    <w:rsid w:val="002D05C3"/>
    <w:rsid w:val="002D52B2"/>
    <w:rsid w:val="002D7A94"/>
    <w:rsid w:val="002E17C2"/>
    <w:rsid w:val="002E365F"/>
    <w:rsid w:val="002F24B7"/>
    <w:rsid w:val="002F4FF0"/>
    <w:rsid w:val="0030043D"/>
    <w:rsid w:val="00307082"/>
    <w:rsid w:val="00314220"/>
    <w:rsid w:val="0031761D"/>
    <w:rsid w:val="00317DDE"/>
    <w:rsid w:val="00324C98"/>
    <w:rsid w:val="00326E01"/>
    <w:rsid w:val="00327EA3"/>
    <w:rsid w:val="0033210C"/>
    <w:rsid w:val="0033227B"/>
    <w:rsid w:val="00333F1B"/>
    <w:rsid w:val="00334A5D"/>
    <w:rsid w:val="003416BB"/>
    <w:rsid w:val="00344DBB"/>
    <w:rsid w:val="00347D04"/>
    <w:rsid w:val="003500CF"/>
    <w:rsid w:val="00350996"/>
    <w:rsid w:val="003510A3"/>
    <w:rsid w:val="0035210F"/>
    <w:rsid w:val="003521B0"/>
    <w:rsid w:val="00356330"/>
    <w:rsid w:val="00357CE8"/>
    <w:rsid w:val="003606CF"/>
    <w:rsid w:val="00361B50"/>
    <w:rsid w:val="0036444A"/>
    <w:rsid w:val="0036502D"/>
    <w:rsid w:val="00366370"/>
    <w:rsid w:val="00372906"/>
    <w:rsid w:val="003738B7"/>
    <w:rsid w:val="00374560"/>
    <w:rsid w:val="00375FBD"/>
    <w:rsid w:val="00377533"/>
    <w:rsid w:val="00377762"/>
    <w:rsid w:val="00377B69"/>
    <w:rsid w:val="003809F8"/>
    <w:rsid w:val="00384D5B"/>
    <w:rsid w:val="00386947"/>
    <w:rsid w:val="003876FD"/>
    <w:rsid w:val="00397078"/>
    <w:rsid w:val="003A246C"/>
    <w:rsid w:val="003A2D29"/>
    <w:rsid w:val="003B01E6"/>
    <w:rsid w:val="003B0CE0"/>
    <w:rsid w:val="003B1241"/>
    <w:rsid w:val="003B4268"/>
    <w:rsid w:val="003B617A"/>
    <w:rsid w:val="003B790D"/>
    <w:rsid w:val="003C07A5"/>
    <w:rsid w:val="003C15CA"/>
    <w:rsid w:val="003C2E30"/>
    <w:rsid w:val="003C4A01"/>
    <w:rsid w:val="003C6450"/>
    <w:rsid w:val="003D0C32"/>
    <w:rsid w:val="003D7E7F"/>
    <w:rsid w:val="003E1D5C"/>
    <w:rsid w:val="003E1DFD"/>
    <w:rsid w:val="003E29E3"/>
    <w:rsid w:val="003E2E35"/>
    <w:rsid w:val="003E3609"/>
    <w:rsid w:val="003E5848"/>
    <w:rsid w:val="003F0530"/>
    <w:rsid w:val="003F253C"/>
    <w:rsid w:val="003F2C71"/>
    <w:rsid w:val="003F3EE9"/>
    <w:rsid w:val="003F47BE"/>
    <w:rsid w:val="004011BA"/>
    <w:rsid w:val="00403C2F"/>
    <w:rsid w:val="00414DE9"/>
    <w:rsid w:val="00426BC2"/>
    <w:rsid w:val="0043044E"/>
    <w:rsid w:val="0043090B"/>
    <w:rsid w:val="00433B2D"/>
    <w:rsid w:val="00434ABC"/>
    <w:rsid w:val="00435EEB"/>
    <w:rsid w:val="0043723B"/>
    <w:rsid w:val="0044090D"/>
    <w:rsid w:val="00442C66"/>
    <w:rsid w:val="0044426C"/>
    <w:rsid w:val="00452C3C"/>
    <w:rsid w:val="00455B6D"/>
    <w:rsid w:val="004562B8"/>
    <w:rsid w:val="00456AD9"/>
    <w:rsid w:val="0046110A"/>
    <w:rsid w:val="00461120"/>
    <w:rsid w:val="0046326F"/>
    <w:rsid w:val="00472639"/>
    <w:rsid w:val="00472DF9"/>
    <w:rsid w:val="004760DB"/>
    <w:rsid w:val="00476720"/>
    <w:rsid w:val="00483CF3"/>
    <w:rsid w:val="0048571B"/>
    <w:rsid w:val="00486299"/>
    <w:rsid w:val="004864F7"/>
    <w:rsid w:val="004902AA"/>
    <w:rsid w:val="00492233"/>
    <w:rsid w:val="00493C2B"/>
    <w:rsid w:val="0049445E"/>
    <w:rsid w:val="00494BA3"/>
    <w:rsid w:val="00494DF6"/>
    <w:rsid w:val="00494DFE"/>
    <w:rsid w:val="00494FB8"/>
    <w:rsid w:val="00495B2C"/>
    <w:rsid w:val="004979DC"/>
    <w:rsid w:val="00497C21"/>
    <w:rsid w:val="004A0BC8"/>
    <w:rsid w:val="004A13DB"/>
    <w:rsid w:val="004A19AF"/>
    <w:rsid w:val="004A69E1"/>
    <w:rsid w:val="004B18C3"/>
    <w:rsid w:val="004B233F"/>
    <w:rsid w:val="004B433D"/>
    <w:rsid w:val="004B548B"/>
    <w:rsid w:val="004B5781"/>
    <w:rsid w:val="004B7449"/>
    <w:rsid w:val="004B74D3"/>
    <w:rsid w:val="004C25F6"/>
    <w:rsid w:val="004C3B9E"/>
    <w:rsid w:val="004C3CB9"/>
    <w:rsid w:val="004C7D76"/>
    <w:rsid w:val="004C7F32"/>
    <w:rsid w:val="004D15C6"/>
    <w:rsid w:val="004D366F"/>
    <w:rsid w:val="004E2B8C"/>
    <w:rsid w:val="004E2E48"/>
    <w:rsid w:val="004E41B2"/>
    <w:rsid w:val="004E523E"/>
    <w:rsid w:val="004E61E5"/>
    <w:rsid w:val="004F02C9"/>
    <w:rsid w:val="004F1B7B"/>
    <w:rsid w:val="00500F52"/>
    <w:rsid w:val="005014B1"/>
    <w:rsid w:val="00504D5F"/>
    <w:rsid w:val="00506085"/>
    <w:rsid w:val="00506B9F"/>
    <w:rsid w:val="0051219D"/>
    <w:rsid w:val="00514E72"/>
    <w:rsid w:val="005174E3"/>
    <w:rsid w:val="00517B27"/>
    <w:rsid w:val="005242B2"/>
    <w:rsid w:val="00527362"/>
    <w:rsid w:val="005310E3"/>
    <w:rsid w:val="00534BD3"/>
    <w:rsid w:val="00537F7F"/>
    <w:rsid w:val="0054144A"/>
    <w:rsid w:val="00543562"/>
    <w:rsid w:val="005452E0"/>
    <w:rsid w:val="0054536F"/>
    <w:rsid w:val="0055068F"/>
    <w:rsid w:val="00553570"/>
    <w:rsid w:val="00555E2F"/>
    <w:rsid w:val="00557E73"/>
    <w:rsid w:val="0056325A"/>
    <w:rsid w:val="00563372"/>
    <w:rsid w:val="00563B9F"/>
    <w:rsid w:val="00563DEF"/>
    <w:rsid w:val="005668CA"/>
    <w:rsid w:val="005721BC"/>
    <w:rsid w:val="0057299F"/>
    <w:rsid w:val="00574794"/>
    <w:rsid w:val="00574A64"/>
    <w:rsid w:val="00574B20"/>
    <w:rsid w:val="005836F3"/>
    <w:rsid w:val="00583725"/>
    <w:rsid w:val="00584A20"/>
    <w:rsid w:val="00584BF9"/>
    <w:rsid w:val="00585B99"/>
    <w:rsid w:val="00586213"/>
    <w:rsid w:val="0058757E"/>
    <w:rsid w:val="005928ED"/>
    <w:rsid w:val="005A227C"/>
    <w:rsid w:val="005A2AC5"/>
    <w:rsid w:val="005A4377"/>
    <w:rsid w:val="005A7CF1"/>
    <w:rsid w:val="005B5591"/>
    <w:rsid w:val="005C1466"/>
    <w:rsid w:val="005C1B4C"/>
    <w:rsid w:val="005C5962"/>
    <w:rsid w:val="005D0ADA"/>
    <w:rsid w:val="005D20BF"/>
    <w:rsid w:val="005D3F5F"/>
    <w:rsid w:val="005D484E"/>
    <w:rsid w:val="005E2324"/>
    <w:rsid w:val="005E23FD"/>
    <w:rsid w:val="005E6FFE"/>
    <w:rsid w:val="005F1391"/>
    <w:rsid w:val="005F1C4D"/>
    <w:rsid w:val="005F2CC3"/>
    <w:rsid w:val="005F63E1"/>
    <w:rsid w:val="005F7E3E"/>
    <w:rsid w:val="006177ED"/>
    <w:rsid w:val="00620F8C"/>
    <w:rsid w:val="00622D7B"/>
    <w:rsid w:val="00625A68"/>
    <w:rsid w:val="00627705"/>
    <w:rsid w:val="00631621"/>
    <w:rsid w:val="00631F2C"/>
    <w:rsid w:val="0063237D"/>
    <w:rsid w:val="006336EE"/>
    <w:rsid w:val="00637F78"/>
    <w:rsid w:val="00644EBB"/>
    <w:rsid w:val="00644F50"/>
    <w:rsid w:val="00647C3C"/>
    <w:rsid w:val="00650451"/>
    <w:rsid w:val="0065462E"/>
    <w:rsid w:val="006621E7"/>
    <w:rsid w:val="00663949"/>
    <w:rsid w:val="00667444"/>
    <w:rsid w:val="00671442"/>
    <w:rsid w:val="00671CF6"/>
    <w:rsid w:val="006728F6"/>
    <w:rsid w:val="006749E6"/>
    <w:rsid w:val="00680010"/>
    <w:rsid w:val="0068093B"/>
    <w:rsid w:val="006820AB"/>
    <w:rsid w:val="006839CB"/>
    <w:rsid w:val="00684AB1"/>
    <w:rsid w:val="00685657"/>
    <w:rsid w:val="0068611B"/>
    <w:rsid w:val="00691F00"/>
    <w:rsid w:val="006A1641"/>
    <w:rsid w:val="006B1892"/>
    <w:rsid w:val="006B240A"/>
    <w:rsid w:val="006B25B6"/>
    <w:rsid w:val="006B278E"/>
    <w:rsid w:val="006C0CD7"/>
    <w:rsid w:val="006C3094"/>
    <w:rsid w:val="006C6450"/>
    <w:rsid w:val="006D35D3"/>
    <w:rsid w:val="006D4E90"/>
    <w:rsid w:val="006D63A3"/>
    <w:rsid w:val="006D6CE0"/>
    <w:rsid w:val="006E0F8F"/>
    <w:rsid w:val="006E2290"/>
    <w:rsid w:val="006E33FF"/>
    <w:rsid w:val="006E5928"/>
    <w:rsid w:val="006F14DE"/>
    <w:rsid w:val="006F550B"/>
    <w:rsid w:val="006F6B74"/>
    <w:rsid w:val="006F6F6E"/>
    <w:rsid w:val="00702EC9"/>
    <w:rsid w:val="007057B7"/>
    <w:rsid w:val="00706C57"/>
    <w:rsid w:val="0070711B"/>
    <w:rsid w:val="00707538"/>
    <w:rsid w:val="007111C1"/>
    <w:rsid w:val="00711F99"/>
    <w:rsid w:val="00715DEA"/>
    <w:rsid w:val="00722FBE"/>
    <w:rsid w:val="0072663E"/>
    <w:rsid w:val="007311F3"/>
    <w:rsid w:val="00732AC8"/>
    <w:rsid w:val="00735A1C"/>
    <w:rsid w:val="0074225E"/>
    <w:rsid w:val="00746E24"/>
    <w:rsid w:val="00746F0E"/>
    <w:rsid w:val="00746FE9"/>
    <w:rsid w:val="0074729E"/>
    <w:rsid w:val="007501BB"/>
    <w:rsid w:val="00751844"/>
    <w:rsid w:val="007519D2"/>
    <w:rsid w:val="0075228A"/>
    <w:rsid w:val="00752F87"/>
    <w:rsid w:val="007533AA"/>
    <w:rsid w:val="007707A6"/>
    <w:rsid w:val="0077214D"/>
    <w:rsid w:val="00775CA5"/>
    <w:rsid w:val="00781FF2"/>
    <w:rsid w:val="00783527"/>
    <w:rsid w:val="007837F7"/>
    <w:rsid w:val="007865D6"/>
    <w:rsid w:val="007865F6"/>
    <w:rsid w:val="007871DE"/>
    <w:rsid w:val="0079047D"/>
    <w:rsid w:val="00790CEA"/>
    <w:rsid w:val="00794F82"/>
    <w:rsid w:val="00795C8B"/>
    <w:rsid w:val="00796695"/>
    <w:rsid w:val="00797C75"/>
    <w:rsid w:val="007A1EDE"/>
    <w:rsid w:val="007A5B65"/>
    <w:rsid w:val="007B2129"/>
    <w:rsid w:val="007B4E63"/>
    <w:rsid w:val="007B5954"/>
    <w:rsid w:val="007B5ABC"/>
    <w:rsid w:val="007B7037"/>
    <w:rsid w:val="007C1195"/>
    <w:rsid w:val="007C1909"/>
    <w:rsid w:val="007C1C78"/>
    <w:rsid w:val="007C30A2"/>
    <w:rsid w:val="007C37A7"/>
    <w:rsid w:val="007D47E7"/>
    <w:rsid w:val="007D692C"/>
    <w:rsid w:val="007E0281"/>
    <w:rsid w:val="007E0A9F"/>
    <w:rsid w:val="007F094A"/>
    <w:rsid w:val="007F1DFF"/>
    <w:rsid w:val="007F5D11"/>
    <w:rsid w:val="007F7EDA"/>
    <w:rsid w:val="008007F2"/>
    <w:rsid w:val="00802815"/>
    <w:rsid w:val="008029EC"/>
    <w:rsid w:val="008065E5"/>
    <w:rsid w:val="008075B3"/>
    <w:rsid w:val="00813284"/>
    <w:rsid w:val="00813586"/>
    <w:rsid w:val="00813F25"/>
    <w:rsid w:val="00823407"/>
    <w:rsid w:val="0082475D"/>
    <w:rsid w:val="00830A99"/>
    <w:rsid w:val="008371F2"/>
    <w:rsid w:val="00840299"/>
    <w:rsid w:val="00843771"/>
    <w:rsid w:val="0084687C"/>
    <w:rsid w:val="008541C9"/>
    <w:rsid w:val="008546D9"/>
    <w:rsid w:val="00856F3F"/>
    <w:rsid w:val="00857D14"/>
    <w:rsid w:val="00861ADA"/>
    <w:rsid w:val="00862D08"/>
    <w:rsid w:val="00863885"/>
    <w:rsid w:val="008638E5"/>
    <w:rsid w:val="0086676D"/>
    <w:rsid w:val="008723DD"/>
    <w:rsid w:val="00872A77"/>
    <w:rsid w:val="00874ABE"/>
    <w:rsid w:val="00874B0B"/>
    <w:rsid w:val="00875DB9"/>
    <w:rsid w:val="0087681B"/>
    <w:rsid w:val="008772BE"/>
    <w:rsid w:val="00877A71"/>
    <w:rsid w:val="008800D8"/>
    <w:rsid w:val="0088066C"/>
    <w:rsid w:val="0088110D"/>
    <w:rsid w:val="00881187"/>
    <w:rsid w:val="00881945"/>
    <w:rsid w:val="00881DCF"/>
    <w:rsid w:val="00882701"/>
    <w:rsid w:val="008844E7"/>
    <w:rsid w:val="008855B9"/>
    <w:rsid w:val="008910E2"/>
    <w:rsid w:val="00891C0B"/>
    <w:rsid w:val="00893964"/>
    <w:rsid w:val="00897033"/>
    <w:rsid w:val="008977BF"/>
    <w:rsid w:val="00897A8E"/>
    <w:rsid w:val="008A0888"/>
    <w:rsid w:val="008A1B27"/>
    <w:rsid w:val="008A254E"/>
    <w:rsid w:val="008A2BF5"/>
    <w:rsid w:val="008A741F"/>
    <w:rsid w:val="008B36C7"/>
    <w:rsid w:val="008B3A2D"/>
    <w:rsid w:val="008B3A3E"/>
    <w:rsid w:val="008B652E"/>
    <w:rsid w:val="008B6531"/>
    <w:rsid w:val="008C1DE8"/>
    <w:rsid w:val="008C58F8"/>
    <w:rsid w:val="008C76B1"/>
    <w:rsid w:val="008D119E"/>
    <w:rsid w:val="008D3666"/>
    <w:rsid w:val="008D700E"/>
    <w:rsid w:val="008E2A01"/>
    <w:rsid w:val="008E3748"/>
    <w:rsid w:val="008E7DC4"/>
    <w:rsid w:val="008F023B"/>
    <w:rsid w:val="008F4793"/>
    <w:rsid w:val="008F5F33"/>
    <w:rsid w:val="008F6C12"/>
    <w:rsid w:val="00901B2D"/>
    <w:rsid w:val="0090413B"/>
    <w:rsid w:val="00904C79"/>
    <w:rsid w:val="009055E0"/>
    <w:rsid w:val="00911FA2"/>
    <w:rsid w:val="00912232"/>
    <w:rsid w:val="0091642B"/>
    <w:rsid w:val="00917B00"/>
    <w:rsid w:val="00920566"/>
    <w:rsid w:val="00922DCC"/>
    <w:rsid w:val="00924410"/>
    <w:rsid w:val="009316B0"/>
    <w:rsid w:val="0093465E"/>
    <w:rsid w:val="00934F10"/>
    <w:rsid w:val="00937C18"/>
    <w:rsid w:val="009412A5"/>
    <w:rsid w:val="009473C2"/>
    <w:rsid w:val="00952A62"/>
    <w:rsid w:val="009532EB"/>
    <w:rsid w:val="00954395"/>
    <w:rsid w:val="0095512E"/>
    <w:rsid w:val="00957922"/>
    <w:rsid w:val="00972D9C"/>
    <w:rsid w:val="00974040"/>
    <w:rsid w:val="0097440E"/>
    <w:rsid w:val="0097636B"/>
    <w:rsid w:val="00977B05"/>
    <w:rsid w:val="00982124"/>
    <w:rsid w:val="009825AC"/>
    <w:rsid w:val="009902CD"/>
    <w:rsid w:val="00992BA7"/>
    <w:rsid w:val="009934C5"/>
    <w:rsid w:val="00994A8C"/>
    <w:rsid w:val="009A27DA"/>
    <w:rsid w:val="009A2922"/>
    <w:rsid w:val="009A308E"/>
    <w:rsid w:val="009B0C39"/>
    <w:rsid w:val="009B17B6"/>
    <w:rsid w:val="009B2EF9"/>
    <w:rsid w:val="009B51B1"/>
    <w:rsid w:val="009D1B67"/>
    <w:rsid w:val="009D23CC"/>
    <w:rsid w:val="009D241A"/>
    <w:rsid w:val="009D5C7A"/>
    <w:rsid w:val="009D6B53"/>
    <w:rsid w:val="009E1A51"/>
    <w:rsid w:val="009E2FBC"/>
    <w:rsid w:val="009E69FB"/>
    <w:rsid w:val="009E7DF9"/>
    <w:rsid w:val="009F3FFC"/>
    <w:rsid w:val="009F6F59"/>
    <w:rsid w:val="00A05AA6"/>
    <w:rsid w:val="00A06009"/>
    <w:rsid w:val="00A06810"/>
    <w:rsid w:val="00A1604B"/>
    <w:rsid w:val="00A240B9"/>
    <w:rsid w:val="00A27008"/>
    <w:rsid w:val="00A27647"/>
    <w:rsid w:val="00A3084D"/>
    <w:rsid w:val="00A30993"/>
    <w:rsid w:val="00A35707"/>
    <w:rsid w:val="00A41A26"/>
    <w:rsid w:val="00A41AA6"/>
    <w:rsid w:val="00A4366C"/>
    <w:rsid w:val="00A43AC9"/>
    <w:rsid w:val="00A44238"/>
    <w:rsid w:val="00A4500E"/>
    <w:rsid w:val="00A4747C"/>
    <w:rsid w:val="00A47FB2"/>
    <w:rsid w:val="00A52BC0"/>
    <w:rsid w:val="00A547F4"/>
    <w:rsid w:val="00A57C2B"/>
    <w:rsid w:val="00A612A4"/>
    <w:rsid w:val="00A619AC"/>
    <w:rsid w:val="00A6237A"/>
    <w:rsid w:val="00A62487"/>
    <w:rsid w:val="00A624E3"/>
    <w:rsid w:val="00A64CF2"/>
    <w:rsid w:val="00A676A7"/>
    <w:rsid w:val="00A703F7"/>
    <w:rsid w:val="00A70A75"/>
    <w:rsid w:val="00A73CB9"/>
    <w:rsid w:val="00A755F3"/>
    <w:rsid w:val="00A836C5"/>
    <w:rsid w:val="00A83CAC"/>
    <w:rsid w:val="00A9086D"/>
    <w:rsid w:val="00A90BE2"/>
    <w:rsid w:val="00A925DA"/>
    <w:rsid w:val="00A9668E"/>
    <w:rsid w:val="00A96ACB"/>
    <w:rsid w:val="00A96BC9"/>
    <w:rsid w:val="00AA135B"/>
    <w:rsid w:val="00AA292D"/>
    <w:rsid w:val="00AB1415"/>
    <w:rsid w:val="00AB1AA1"/>
    <w:rsid w:val="00AB556A"/>
    <w:rsid w:val="00AC4F6D"/>
    <w:rsid w:val="00AC5955"/>
    <w:rsid w:val="00AC7BE2"/>
    <w:rsid w:val="00AD0838"/>
    <w:rsid w:val="00AD17F0"/>
    <w:rsid w:val="00AD1FB6"/>
    <w:rsid w:val="00AD2424"/>
    <w:rsid w:val="00AD29EF"/>
    <w:rsid w:val="00AD32E9"/>
    <w:rsid w:val="00AD4CC1"/>
    <w:rsid w:val="00AD5717"/>
    <w:rsid w:val="00AD7DA4"/>
    <w:rsid w:val="00AE07D4"/>
    <w:rsid w:val="00AE1A78"/>
    <w:rsid w:val="00AE2EA0"/>
    <w:rsid w:val="00AE5C1D"/>
    <w:rsid w:val="00AF603B"/>
    <w:rsid w:val="00AF64C3"/>
    <w:rsid w:val="00AF761C"/>
    <w:rsid w:val="00AF7642"/>
    <w:rsid w:val="00B03BCA"/>
    <w:rsid w:val="00B046D6"/>
    <w:rsid w:val="00B10425"/>
    <w:rsid w:val="00B107AC"/>
    <w:rsid w:val="00B15CDE"/>
    <w:rsid w:val="00B20CC4"/>
    <w:rsid w:val="00B22D6E"/>
    <w:rsid w:val="00B22EDF"/>
    <w:rsid w:val="00B24E2B"/>
    <w:rsid w:val="00B32DE5"/>
    <w:rsid w:val="00B34B41"/>
    <w:rsid w:val="00B36D6A"/>
    <w:rsid w:val="00B375B4"/>
    <w:rsid w:val="00B3774E"/>
    <w:rsid w:val="00B452CC"/>
    <w:rsid w:val="00B47BB6"/>
    <w:rsid w:val="00B5399E"/>
    <w:rsid w:val="00B53D99"/>
    <w:rsid w:val="00B53FB6"/>
    <w:rsid w:val="00B544CF"/>
    <w:rsid w:val="00B54627"/>
    <w:rsid w:val="00B6267A"/>
    <w:rsid w:val="00B63156"/>
    <w:rsid w:val="00B632E1"/>
    <w:rsid w:val="00B666E0"/>
    <w:rsid w:val="00B6717A"/>
    <w:rsid w:val="00B7212A"/>
    <w:rsid w:val="00B728D0"/>
    <w:rsid w:val="00B73B36"/>
    <w:rsid w:val="00B75549"/>
    <w:rsid w:val="00B765CC"/>
    <w:rsid w:val="00B77D4E"/>
    <w:rsid w:val="00B84AEC"/>
    <w:rsid w:val="00B90FDE"/>
    <w:rsid w:val="00B91C19"/>
    <w:rsid w:val="00B95518"/>
    <w:rsid w:val="00B96A42"/>
    <w:rsid w:val="00B976B0"/>
    <w:rsid w:val="00BA3271"/>
    <w:rsid w:val="00BA7389"/>
    <w:rsid w:val="00BB7907"/>
    <w:rsid w:val="00BC0100"/>
    <w:rsid w:val="00BC0E76"/>
    <w:rsid w:val="00BC3CC9"/>
    <w:rsid w:val="00BD1720"/>
    <w:rsid w:val="00BD56BF"/>
    <w:rsid w:val="00BD76F6"/>
    <w:rsid w:val="00BE6F27"/>
    <w:rsid w:val="00BF0706"/>
    <w:rsid w:val="00BF5997"/>
    <w:rsid w:val="00BF5FBF"/>
    <w:rsid w:val="00BF7024"/>
    <w:rsid w:val="00BF7079"/>
    <w:rsid w:val="00BF719C"/>
    <w:rsid w:val="00C014BF"/>
    <w:rsid w:val="00C02319"/>
    <w:rsid w:val="00C03339"/>
    <w:rsid w:val="00C0479E"/>
    <w:rsid w:val="00C0799F"/>
    <w:rsid w:val="00C11031"/>
    <w:rsid w:val="00C150DF"/>
    <w:rsid w:val="00C16A86"/>
    <w:rsid w:val="00C172E5"/>
    <w:rsid w:val="00C267E3"/>
    <w:rsid w:val="00C26DCC"/>
    <w:rsid w:val="00C33FA6"/>
    <w:rsid w:val="00C34466"/>
    <w:rsid w:val="00C36E93"/>
    <w:rsid w:val="00C37AE0"/>
    <w:rsid w:val="00C43F30"/>
    <w:rsid w:val="00C44326"/>
    <w:rsid w:val="00C454C8"/>
    <w:rsid w:val="00C45943"/>
    <w:rsid w:val="00C47898"/>
    <w:rsid w:val="00C51372"/>
    <w:rsid w:val="00C5214B"/>
    <w:rsid w:val="00C53565"/>
    <w:rsid w:val="00C54E60"/>
    <w:rsid w:val="00C57273"/>
    <w:rsid w:val="00C62E58"/>
    <w:rsid w:val="00C65E91"/>
    <w:rsid w:val="00C662BE"/>
    <w:rsid w:val="00C67E13"/>
    <w:rsid w:val="00C7521D"/>
    <w:rsid w:val="00C75248"/>
    <w:rsid w:val="00C7524A"/>
    <w:rsid w:val="00C76446"/>
    <w:rsid w:val="00C769C0"/>
    <w:rsid w:val="00C8355F"/>
    <w:rsid w:val="00C842CE"/>
    <w:rsid w:val="00C922D3"/>
    <w:rsid w:val="00C94445"/>
    <w:rsid w:val="00C9630A"/>
    <w:rsid w:val="00CA007D"/>
    <w:rsid w:val="00CA35A8"/>
    <w:rsid w:val="00CA7159"/>
    <w:rsid w:val="00CB7190"/>
    <w:rsid w:val="00CC536F"/>
    <w:rsid w:val="00CC5396"/>
    <w:rsid w:val="00CD1FC0"/>
    <w:rsid w:val="00CD37B1"/>
    <w:rsid w:val="00CD78E7"/>
    <w:rsid w:val="00CE039B"/>
    <w:rsid w:val="00CE09CC"/>
    <w:rsid w:val="00CE1089"/>
    <w:rsid w:val="00CF1425"/>
    <w:rsid w:val="00CF1936"/>
    <w:rsid w:val="00CF2EBB"/>
    <w:rsid w:val="00CF3293"/>
    <w:rsid w:val="00CF51CF"/>
    <w:rsid w:val="00CF6D81"/>
    <w:rsid w:val="00D0008D"/>
    <w:rsid w:val="00D037BC"/>
    <w:rsid w:val="00D05AAD"/>
    <w:rsid w:val="00D13C00"/>
    <w:rsid w:val="00D16B8E"/>
    <w:rsid w:val="00D17B55"/>
    <w:rsid w:val="00D20541"/>
    <w:rsid w:val="00D20FEE"/>
    <w:rsid w:val="00D22552"/>
    <w:rsid w:val="00D26F15"/>
    <w:rsid w:val="00D272C0"/>
    <w:rsid w:val="00D32196"/>
    <w:rsid w:val="00D347A6"/>
    <w:rsid w:val="00D36FA6"/>
    <w:rsid w:val="00D406AA"/>
    <w:rsid w:val="00D4480E"/>
    <w:rsid w:val="00D50E90"/>
    <w:rsid w:val="00D52992"/>
    <w:rsid w:val="00D534F7"/>
    <w:rsid w:val="00D53A3A"/>
    <w:rsid w:val="00D57683"/>
    <w:rsid w:val="00D5779D"/>
    <w:rsid w:val="00D64766"/>
    <w:rsid w:val="00D66A8A"/>
    <w:rsid w:val="00D70214"/>
    <w:rsid w:val="00D728F0"/>
    <w:rsid w:val="00D7499C"/>
    <w:rsid w:val="00D7502E"/>
    <w:rsid w:val="00D755C8"/>
    <w:rsid w:val="00D771B7"/>
    <w:rsid w:val="00D81781"/>
    <w:rsid w:val="00D826AC"/>
    <w:rsid w:val="00D83250"/>
    <w:rsid w:val="00D837CE"/>
    <w:rsid w:val="00D90771"/>
    <w:rsid w:val="00D90AC5"/>
    <w:rsid w:val="00D94CBF"/>
    <w:rsid w:val="00D95FB0"/>
    <w:rsid w:val="00D960AC"/>
    <w:rsid w:val="00D97D8E"/>
    <w:rsid w:val="00DA3053"/>
    <w:rsid w:val="00DB57AD"/>
    <w:rsid w:val="00DB584F"/>
    <w:rsid w:val="00DB5C37"/>
    <w:rsid w:val="00DB637D"/>
    <w:rsid w:val="00DC2496"/>
    <w:rsid w:val="00DD0111"/>
    <w:rsid w:val="00DD101D"/>
    <w:rsid w:val="00DD2377"/>
    <w:rsid w:val="00DD2422"/>
    <w:rsid w:val="00DD5D0A"/>
    <w:rsid w:val="00DD7030"/>
    <w:rsid w:val="00DE0289"/>
    <w:rsid w:val="00DE0A42"/>
    <w:rsid w:val="00DE3BFF"/>
    <w:rsid w:val="00DF16F7"/>
    <w:rsid w:val="00DF482C"/>
    <w:rsid w:val="00DF5185"/>
    <w:rsid w:val="00DF721B"/>
    <w:rsid w:val="00E013E6"/>
    <w:rsid w:val="00E029B6"/>
    <w:rsid w:val="00E0655A"/>
    <w:rsid w:val="00E10E7F"/>
    <w:rsid w:val="00E12E67"/>
    <w:rsid w:val="00E1398A"/>
    <w:rsid w:val="00E15A4F"/>
    <w:rsid w:val="00E175BC"/>
    <w:rsid w:val="00E20981"/>
    <w:rsid w:val="00E2273E"/>
    <w:rsid w:val="00E235AA"/>
    <w:rsid w:val="00E25462"/>
    <w:rsid w:val="00E3196A"/>
    <w:rsid w:val="00E352BD"/>
    <w:rsid w:val="00E35AE7"/>
    <w:rsid w:val="00E419DD"/>
    <w:rsid w:val="00E42BBD"/>
    <w:rsid w:val="00E432DF"/>
    <w:rsid w:val="00E44609"/>
    <w:rsid w:val="00E4517D"/>
    <w:rsid w:val="00E50BAC"/>
    <w:rsid w:val="00E51AA5"/>
    <w:rsid w:val="00E57235"/>
    <w:rsid w:val="00E57B0E"/>
    <w:rsid w:val="00E57FEA"/>
    <w:rsid w:val="00E65CCE"/>
    <w:rsid w:val="00E6640B"/>
    <w:rsid w:val="00E700A7"/>
    <w:rsid w:val="00E70458"/>
    <w:rsid w:val="00E70E78"/>
    <w:rsid w:val="00E71DB5"/>
    <w:rsid w:val="00E72238"/>
    <w:rsid w:val="00E747FB"/>
    <w:rsid w:val="00E75D65"/>
    <w:rsid w:val="00E75F7C"/>
    <w:rsid w:val="00E76693"/>
    <w:rsid w:val="00E76D4B"/>
    <w:rsid w:val="00E77108"/>
    <w:rsid w:val="00E809D2"/>
    <w:rsid w:val="00E82907"/>
    <w:rsid w:val="00E83096"/>
    <w:rsid w:val="00E8521D"/>
    <w:rsid w:val="00E857DE"/>
    <w:rsid w:val="00E864DE"/>
    <w:rsid w:val="00E91145"/>
    <w:rsid w:val="00E92EC9"/>
    <w:rsid w:val="00E94936"/>
    <w:rsid w:val="00E97FAC"/>
    <w:rsid w:val="00EA2A63"/>
    <w:rsid w:val="00EA2FD2"/>
    <w:rsid w:val="00EA3137"/>
    <w:rsid w:val="00EA543B"/>
    <w:rsid w:val="00EA640C"/>
    <w:rsid w:val="00EB0CC2"/>
    <w:rsid w:val="00EB1C69"/>
    <w:rsid w:val="00EB2C21"/>
    <w:rsid w:val="00EB4C39"/>
    <w:rsid w:val="00EB4FE5"/>
    <w:rsid w:val="00EB608C"/>
    <w:rsid w:val="00EB7F51"/>
    <w:rsid w:val="00EC3C67"/>
    <w:rsid w:val="00EC5FA1"/>
    <w:rsid w:val="00ED2A57"/>
    <w:rsid w:val="00ED43FA"/>
    <w:rsid w:val="00EE0D6F"/>
    <w:rsid w:val="00EE23F3"/>
    <w:rsid w:val="00EE24D0"/>
    <w:rsid w:val="00EE2B3D"/>
    <w:rsid w:val="00EE40D1"/>
    <w:rsid w:val="00EE5F3D"/>
    <w:rsid w:val="00EF0B8F"/>
    <w:rsid w:val="00EF1D00"/>
    <w:rsid w:val="00EF25C3"/>
    <w:rsid w:val="00EF2D3B"/>
    <w:rsid w:val="00EF4E95"/>
    <w:rsid w:val="00F01767"/>
    <w:rsid w:val="00F01956"/>
    <w:rsid w:val="00F0661C"/>
    <w:rsid w:val="00F06CA1"/>
    <w:rsid w:val="00F14473"/>
    <w:rsid w:val="00F161C6"/>
    <w:rsid w:val="00F17528"/>
    <w:rsid w:val="00F17ACB"/>
    <w:rsid w:val="00F221FC"/>
    <w:rsid w:val="00F22422"/>
    <w:rsid w:val="00F23F1E"/>
    <w:rsid w:val="00F25A07"/>
    <w:rsid w:val="00F32F8E"/>
    <w:rsid w:val="00F33C35"/>
    <w:rsid w:val="00F353DA"/>
    <w:rsid w:val="00F426C8"/>
    <w:rsid w:val="00F45BED"/>
    <w:rsid w:val="00F50EFA"/>
    <w:rsid w:val="00F52C18"/>
    <w:rsid w:val="00F5431A"/>
    <w:rsid w:val="00F54D6D"/>
    <w:rsid w:val="00F57F1F"/>
    <w:rsid w:val="00F60625"/>
    <w:rsid w:val="00F64478"/>
    <w:rsid w:val="00F65C47"/>
    <w:rsid w:val="00F665F9"/>
    <w:rsid w:val="00F713D5"/>
    <w:rsid w:val="00F73907"/>
    <w:rsid w:val="00F80A44"/>
    <w:rsid w:val="00F811FB"/>
    <w:rsid w:val="00F84F17"/>
    <w:rsid w:val="00F85893"/>
    <w:rsid w:val="00F93BBE"/>
    <w:rsid w:val="00F94840"/>
    <w:rsid w:val="00F9557B"/>
    <w:rsid w:val="00F95BE7"/>
    <w:rsid w:val="00F962AE"/>
    <w:rsid w:val="00F97AC7"/>
    <w:rsid w:val="00FA1280"/>
    <w:rsid w:val="00FA27D4"/>
    <w:rsid w:val="00FA2B37"/>
    <w:rsid w:val="00FA3792"/>
    <w:rsid w:val="00FA4E9D"/>
    <w:rsid w:val="00FA5547"/>
    <w:rsid w:val="00FB0B95"/>
    <w:rsid w:val="00FB4757"/>
    <w:rsid w:val="00FB6205"/>
    <w:rsid w:val="00FC3AF4"/>
    <w:rsid w:val="00FC79B6"/>
    <w:rsid w:val="00FD47B8"/>
    <w:rsid w:val="00FD5279"/>
    <w:rsid w:val="00FE0FB2"/>
    <w:rsid w:val="00FE4433"/>
    <w:rsid w:val="00FE7689"/>
    <w:rsid w:val="00FF0055"/>
    <w:rsid w:val="00FF3EB2"/>
    <w:rsid w:val="00FF6397"/>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FD1F"/>
  <w15:chartTrackingRefBased/>
  <w15:docId w15:val="{6DD11C32-2BFE-4305-8526-848FFB1D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55"/>
    <w:pPr>
      <w:ind w:left="720"/>
      <w:contextualSpacing/>
    </w:pPr>
  </w:style>
  <w:style w:type="character" w:customStyle="1" w:styleId="A1">
    <w:name w:val="A1"/>
    <w:uiPriority w:val="99"/>
    <w:rsid w:val="00FA2B37"/>
    <w:rPr>
      <w:rFonts w:cs="Palatino nova"/>
      <w:color w:val="000000"/>
      <w:sz w:val="19"/>
      <w:szCs w:val="19"/>
    </w:rPr>
  </w:style>
  <w:style w:type="paragraph" w:styleId="FootnoteText">
    <w:name w:val="footnote text"/>
    <w:basedOn w:val="Normal"/>
    <w:link w:val="FootnoteTextChar"/>
    <w:uiPriority w:val="99"/>
    <w:unhideWhenUsed/>
    <w:rsid w:val="00FA2B37"/>
    <w:pPr>
      <w:spacing w:line="240" w:lineRule="auto"/>
    </w:pPr>
    <w:rPr>
      <w:sz w:val="20"/>
      <w:szCs w:val="20"/>
    </w:rPr>
  </w:style>
  <w:style w:type="character" w:customStyle="1" w:styleId="FootnoteTextChar">
    <w:name w:val="Footnote Text Char"/>
    <w:basedOn w:val="DefaultParagraphFont"/>
    <w:link w:val="FootnoteText"/>
    <w:uiPriority w:val="99"/>
    <w:rsid w:val="00FA2B37"/>
    <w:rPr>
      <w:sz w:val="20"/>
      <w:szCs w:val="20"/>
    </w:rPr>
  </w:style>
  <w:style w:type="character" w:styleId="FootnoteReference">
    <w:name w:val="footnote reference"/>
    <w:basedOn w:val="DefaultParagraphFont"/>
    <w:uiPriority w:val="99"/>
    <w:semiHidden/>
    <w:unhideWhenUsed/>
    <w:rsid w:val="00FA2B37"/>
    <w:rPr>
      <w:vertAlign w:val="superscript"/>
    </w:rPr>
  </w:style>
  <w:style w:type="paragraph" w:styleId="Header">
    <w:name w:val="header"/>
    <w:basedOn w:val="Normal"/>
    <w:link w:val="HeaderChar"/>
    <w:uiPriority w:val="99"/>
    <w:unhideWhenUsed/>
    <w:rsid w:val="00D53A3A"/>
    <w:pPr>
      <w:tabs>
        <w:tab w:val="center" w:pos="4680"/>
        <w:tab w:val="right" w:pos="9360"/>
      </w:tabs>
      <w:spacing w:line="240" w:lineRule="auto"/>
    </w:pPr>
  </w:style>
  <w:style w:type="character" w:customStyle="1" w:styleId="HeaderChar">
    <w:name w:val="Header Char"/>
    <w:basedOn w:val="DefaultParagraphFont"/>
    <w:link w:val="Header"/>
    <w:uiPriority w:val="99"/>
    <w:rsid w:val="00D53A3A"/>
  </w:style>
  <w:style w:type="paragraph" w:styleId="Footer">
    <w:name w:val="footer"/>
    <w:basedOn w:val="Normal"/>
    <w:link w:val="FooterChar"/>
    <w:uiPriority w:val="99"/>
    <w:unhideWhenUsed/>
    <w:rsid w:val="00D53A3A"/>
    <w:pPr>
      <w:tabs>
        <w:tab w:val="center" w:pos="4680"/>
        <w:tab w:val="right" w:pos="9360"/>
      </w:tabs>
      <w:spacing w:line="240" w:lineRule="auto"/>
    </w:pPr>
  </w:style>
  <w:style w:type="character" w:customStyle="1" w:styleId="FooterChar">
    <w:name w:val="Footer Char"/>
    <w:basedOn w:val="DefaultParagraphFont"/>
    <w:link w:val="Footer"/>
    <w:uiPriority w:val="99"/>
    <w:rsid w:val="00D53A3A"/>
  </w:style>
  <w:style w:type="paragraph" w:styleId="BalloonText">
    <w:name w:val="Balloon Text"/>
    <w:basedOn w:val="Normal"/>
    <w:link w:val="BalloonTextChar"/>
    <w:uiPriority w:val="99"/>
    <w:semiHidden/>
    <w:unhideWhenUsed/>
    <w:rsid w:val="00856F3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F3F"/>
    <w:rPr>
      <w:rFonts w:ascii="Times New Roman" w:hAnsi="Times New Roman" w:cs="Times New Roman"/>
      <w:sz w:val="18"/>
      <w:szCs w:val="18"/>
    </w:rPr>
  </w:style>
  <w:style w:type="character" w:styleId="Hyperlink">
    <w:name w:val="Hyperlink"/>
    <w:basedOn w:val="DefaultParagraphFont"/>
    <w:uiPriority w:val="99"/>
    <w:unhideWhenUsed/>
    <w:rsid w:val="00A06009"/>
    <w:rPr>
      <w:color w:val="0563C1" w:themeColor="hyperlink"/>
      <w:u w:val="single"/>
    </w:rPr>
  </w:style>
  <w:style w:type="character" w:styleId="UnresolvedMention">
    <w:name w:val="Unresolved Mention"/>
    <w:basedOn w:val="DefaultParagraphFont"/>
    <w:uiPriority w:val="99"/>
    <w:semiHidden/>
    <w:unhideWhenUsed/>
    <w:rsid w:val="00A06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88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020174X.2020.1805705?journalCode=sinq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B472-4574-4742-B441-A627FC48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19802</TotalTime>
  <Pages>20</Pages>
  <Words>10637</Words>
  <Characters>60637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Shields</dc:creator>
  <cp:keywords/>
  <dc:description/>
  <cp:lastModifiedBy>Matthew Shields</cp:lastModifiedBy>
  <cp:revision>944</cp:revision>
  <dcterms:created xsi:type="dcterms:W3CDTF">2018-10-13T19:30:00Z</dcterms:created>
  <dcterms:modified xsi:type="dcterms:W3CDTF">2021-09-16T14:20:00Z</dcterms:modified>
</cp:coreProperties>
</file>